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E3B3" w14:textId="77777777" w:rsidR="003541B1" w:rsidRDefault="003526AC" w:rsidP="003541B1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fr-FR"/>
        </w:rPr>
      </w:pPr>
      <w:r w:rsidRPr="003526AC">
        <w:rPr>
          <w:rFonts w:cstheme="minorHAnsi"/>
          <w:b/>
          <w:bCs/>
          <w:sz w:val="28"/>
          <w:szCs w:val="28"/>
          <w:lang w:val="fr-FR"/>
        </w:rPr>
        <w:t>Proposition de la Commission européenne de</w:t>
      </w:r>
      <w:r w:rsidR="003541B1">
        <w:rPr>
          <w:rFonts w:cstheme="minorHAnsi"/>
          <w:b/>
          <w:bCs/>
          <w:sz w:val="28"/>
          <w:szCs w:val="28"/>
          <w:lang w:val="fr-FR"/>
        </w:rPr>
        <w:t xml:space="preserve"> </w:t>
      </w:r>
    </w:p>
    <w:p w14:paraId="27AEAEDD" w14:textId="7F9AF3B4" w:rsidR="00AC41DC" w:rsidRPr="003526AC" w:rsidRDefault="00AC41DC" w:rsidP="00D97110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fr-FR"/>
        </w:rPr>
      </w:pPr>
      <w:r w:rsidRPr="00AC41DC">
        <w:rPr>
          <w:rFonts w:cstheme="minorHAnsi"/>
          <w:b/>
          <w:bCs/>
          <w:sz w:val="28"/>
          <w:szCs w:val="28"/>
          <w:lang w:val="fr-FR"/>
        </w:rPr>
        <w:t xml:space="preserve">la création d’un </w:t>
      </w:r>
      <w:r w:rsidR="005760FC">
        <w:rPr>
          <w:rFonts w:cstheme="minorHAnsi"/>
          <w:b/>
          <w:bCs/>
          <w:sz w:val="28"/>
          <w:szCs w:val="28"/>
          <w:lang w:val="fr-FR"/>
        </w:rPr>
        <w:t>f</w:t>
      </w:r>
      <w:r w:rsidRPr="00AC41DC">
        <w:rPr>
          <w:rFonts w:cstheme="minorHAnsi"/>
          <w:b/>
          <w:bCs/>
          <w:sz w:val="28"/>
          <w:szCs w:val="28"/>
          <w:lang w:val="fr-FR"/>
        </w:rPr>
        <w:t>ond pour la relance et la résilience</w:t>
      </w:r>
    </w:p>
    <w:tbl>
      <w:tblPr>
        <w:tblStyle w:val="Tabel-Gitter"/>
        <w:tblW w:w="10491" w:type="dxa"/>
        <w:tblInd w:w="-431" w:type="dxa"/>
        <w:tblLook w:val="04A0" w:firstRow="1" w:lastRow="0" w:firstColumn="1" w:lastColumn="0" w:noHBand="0" w:noVBand="1"/>
      </w:tblPr>
      <w:tblGrid>
        <w:gridCol w:w="6238"/>
        <w:gridCol w:w="4253"/>
      </w:tblGrid>
      <w:tr w:rsidR="000A073E" w:rsidRPr="004456B1" w14:paraId="1145E364" w14:textId="3785578E" w:rsidTr="001F538C">
        <w:tc>
          <w:tcPr>
            <w:tcW w:w="6238" w:type="dxa"/>
          </w:tcPr>
          <w:p w14:paraId="22BE63EA" w14:textId="6D9C0BB5" w:rsidR="000A073E" w:rsidRDefault="000A073E" w:rsidP="0039184D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  <w:r w:rsidRPr="000A073E">
              <w:rPr>
                <w:rFonts w:cstheme="minorHAnsi"/>
                <w:u w:val="single"/>
                <w:lang w:val="fr-FR"/>
              </w:rPr>
              <w:t>L’apparition</w:t>
            </w:r>
            <w:r w:rsidRPr="006F7951">
              <w:rPr>
                <w:rFonts w:cstheme="minorHAnsi"/>
                <w:lang w:val="fr-FR"/>
              </w:rPr>
              <w:t xml:space="preserve"> de la pandémie de COVID-19 a </w:t>
            </w:r>
            <w:r>
              <w:rPr>
                <w:rFonts w:cstheme="minorHAnsi"/>
                <w:lang w:val="fr-FR"/>
              </w:rPr>
              <w:t>changé</w:t>
            </w:r>
            <w:r w:rsidRPr="006F7951">
              <w:rPr>
                <w:rFonts w:cstheme="minorHAnsi"/>
                <w:lang w:val="fr-FR"/>
              </w:rPr>
              <w:t xml:space="preserve"> les perspectives économiques pour les années </w:t>
            </w:r>
            <w:r w:rsidRPr="000A073E">
              <w:rPr>
                <w:rFonts w:cstheme="minorHAnsi"/>
                <w:u w:val="single"/>
                <w:lang w:val="fr-FR"/>
              </w:rPr>
              <w:t>à venir</w:t>
            </w:r>
            <w:r w:rsidRPr="006F7951">
              <w:rPr>
                <w:rFonts w:cstheme="minorHAnsi"/>
                <w:lang w:val="fr-FR"/>
              </w:rPr>
              <w:t xml:space="preserve"> dans l’Union européenne.</w:t>
            </w:r>
            <w:r>
              <w:rPr>
                <w:rFonts w:cstheme="minorHAnsi"/>
                <w:lang w:val="fr-FR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lang w:val="fr-FR"/>
              </w:rPr>
              <w:t xml:space="preserve">L'impact </w:t>
            </w:r>
            <w:r>
              <w:rPr>
                <w:rStyle w:val="normaltextrun"/>
                <w:rFonts w:ascii="Calibri" w:hAnsi="Calibri" w:cs="Calibri"/>
                <w:u w:val="single"/>
                <w:lang w:val="fr-FR"/>
              </w:rPr>
              <w:t>à court terme</w:t>
            </w:r>
            <w:r>
              <w:rPr>
                <w:rStyle w:val="normaltextrun"/>
                <w:rFonts w:ascii="Calibri" w:hAnsi="Calibri" w:cs="Calibri"/>
                <w:lang w:val="fr-FR"/>
              </w:rPr>
              <w:t xml:space="preserve"> sur chaque État membre </w:t>
            </w:r>
            <w:r w:rsidR="002868B3">
              <w:rPr>
                <w:rStyle w:val="normaltextrun"/>
                <w:rFonts w:ascii="Calibri" w:hAnsi="Calibri" w:cs="Calibri"/>
                <w:lang w:val="fr-FR"/>
              </w:rPr>
              <w:t xml:space="preserve">va </w:t>
            </w:r>
            <w:r>
              <w:rPr>
                <w:rStyle w:val="normaltextrun"/>
                <w:rFonts w:ascii="Calibri" w:hAnsi="Calibri" w:cs="Calibri"/>
                <w:u w:val="single"/>
                <w:lang w:val="fr-FR"/>
              </w:rPr>
              <w:t>dépend</w:t>
            </w:r>
            <w:r w:rsidR="002868B3">
              <w:rPr>
                <w:rStyle w:val="normaltextrun"/>
                <w:rFonts w:ascii="Calibri" w:hAnsi="Calibri" w:cs="Calibri"/>
                <w:u w:val="single"/>
                <w:lang w:val="fr-FR"/>
              </w:rPr>
              <w:t>re</w:t>
            </w:r>
            <w:r>
              <w:rPr>
                <w:rStyle w:val="normaltextrun"/>
                <w:rFonts w:ascii="Calibri" w:hAnsi="Calibri" w:cs="Calibri"/>
                <w:lang w:val="fr-FR"/>
              </w:rPr>
              <w:t xml:space="preserve"> de la durée et de la </w:t>
            </w:r>
            <w:r>
              <w:rPr>
                <w:rStyle w:val="normaltextrun"/>
                <w:rFonts w:ascii="Calibri" w:hAnsi="Calibri" w:cs="Calibri"/>
                <w:u w:val="single"/>
                <w:lang w:val="fr-FR"/>
              </w:rPr>
              <w:t>gravité</w:t>
            </w:r>
            <w:r>
              <w:rPr>
                <w:rStyle w:val="normaltextrun"/>
                <w:rFonts w:ascii="Calibri" w:hAnsi="Calibri" w:cs="Calibri"/>
                <w:lang w:val="fr-FR"/>
              </w:rPr>
              <w:t xml:space="preserve"> des restrictions </w:t>
            </w:r>
            <w:r>
              <w:rPr>
                <w:rStyle w:val="normaltextrun"/>
                <w:rFonts w:ascii="Calibri" w:hAnsi="Calibri" w:cs="Calibri"/>
                <w:u w:val="single"/>
                <w:lang w:val="fr-FR"/>
              </w:rPr>
              <w:t>ainsi que</w:t>
            </w:r>
            <w:r>
              <w:rPr>
                <w:rStyle w:val="normaltextrun"/>
                <w:rFonts w:ascii="Calibri" w:hAnsi="Calibri" w:cs="Calibri"/>
                <w:lang w:val="fr-FR"/>
              </w:rPr>
              <w:t xml:space="preserve"> des </w:t>
            </w:r>
            <w:r>
              <w:rPr>
                <w:rStyle w:val="normaltextrun"/>
                <w:rFonts w:ascii="Calibri" w:hAnsi="Calibri" w:cs="Calibri"/>
                <w:u w:val="single"/>
                <w:lang w:val="fr-FR"/>
              </w:rPr>
              <w:t>mesures</w:t>
            </w:r>
            <w:r>
              <w:rPr>
                <w:rStyle w:val="normaltextrun"/>
                <w:rFonts w:ascii="Calibri" w:hAnsi="Calibri" w:cs="Calibri"/>
                <w:lang w:val="fr-FR"/>
              </w:rPr>
              <w:t xml:space="preserve"> de politique économique adoptées par chaque pays.</w:t>
            </w:r>
            <w:r w:rsidR="002868B3">
              <w:rPr>
                <w:rStyle w:val="normaltextrun"/>
                <w:rFonts w:ascii="Calibri" w:hAnsi="Calibri" w:cs="Calibri"/>
                <w:lang w:val="fr-FR"/>
              </w:rPr>
              <w:t xml:space="preserve"> </w:t>
            </w:r>
            <w:r w:rsidRPr="00461077">
              <w:rPr>
                <w:rFonts w:cstheme="minorHAnsi"/>
                <w:lang w:val="fr-FR"/>
              </w:rPr>
              <w:t xml:space="preserve">Les effets à moyen et long terme dépendront de 1) l’impact sur l’activité économique </w:t>
            </w:r>
            <w:r w:rsidR="002868B3">
              <w:rPr>
                <w:rFonts w:cstheme="minorHAnsi"/>
                <w:lang w:val="fr-FR"/>
              </w:rPr>
              <w:t>c</w:t>
            </w:r>
            <w:r w:rsidR="002868B3" w:rsidRPr="002868B3">
              <w:rPr>
                <w:rFonts w:cstheme="minorHAnsi"/>
                <w:lang w:val="fr-FR"/>
              </w:rPr>
              <w:t>au</w:t>
            </w:r>
            <w:r w:rsidR="002868B3">
              <w:rPr>
                <w:rFonts w:cstheme="minorHAnsi"/>
                <w:lang w:val="fr-FR"/>
              </w:rPr>
              <w:t>s</w:t>
            </w:r>
            <w:r w:rsidR="002868B3" w:rsidRPr="002868B3">
              <w:rPr>
                <w:rFonts w:cstheme="minorHAnsi"/>
                <w:lang w:val="fr-FR"/>
              </w:rPr>
              <w:t xml:space="preserve">é </w:t>
            </w:r>
            <w:r w:rsidR="002868B3">
              <w:rPr>
                <w:rFonts w:cstheme="minorHAnsi"/>
                <w:lang w:val="fr-FR"/>
              </w:rPr>
              <w:t>p</w:t>
            </w:r>
            <w:r w:rsidR="002868B3" w:rsidRPr="002868B3">
              <w:rPr>
                <w:rFonts w:cstheme="minorHAnsi"/>
                <w:lang w:val="fr-FR"/>
              </w:rPr>
              <w:t>a</w:t>
            </w:r>
            <w:r w:rsidR="002868B3">
              <w:rPr>
                <w:rFonts w:cstheme="minorHAnsi"/>
                <w:lang w:val="fr-FR"/>
              </w:rPr>
              <w:t>r</w:t>
            </w:r>
            <w:r w:rsidR="002868B3" w:rsidRPr="002868B3">
              <w:rPr>
                <w:rFonts w:cstheme="minorHAnsi"/>
                <w:lang w:val="fr-FR"/>
              </w:rPr>
              <w:t xml:space="preserve"> </w:t>
            </w:r>
            <w:r w:rsidR="002868B3">
              <w:rPr>
                <w:rFonts w:cstheme="minorHAnsi"/>
                <w:lang w:val="fr-FR"/>
              </w:rPr>
              <w:t>l</w:t>
            </w:r>
            <w:r w:rsidRPr="00461077">
              <w:rPr>
                <w:rFonts w:cstheme="minorHAnsi"/>
                <w:lang w:val="fr-FR"/>
              </w:rPr>
              <w:t xml:space="preserve">a pandémie de COVID dans tous les secteurs de l’économie, 2) de la </w:t>
            </w:r>
            <w:r w:rsidRPr="002868B3">
              <w:rPr>
                <w:rFonts w:cstheme="minorHAnsi"/>
                <w:u w:val="single"/>
                <w:lang w:val="fr-FR"/>
              </w:rPr>
              <w:t>résilience</w:t>
            </w:r>
            <w:r w:rsidRPr="00461077">
              <w:rPr>
                <w:rFonts w:cstheme="minorHAnsi"/>
                <w:lang w:val="fr-FR"/>
              </w:rPr>
              <w:t xml:space="preserve"> économique des </w:t>
            </w:r>
            <w:r w:rsidR="002868B3">
              <w:rPr>
                <w:rFonts w:cstheme="minorHAnsi"/>
                <w:lang w:val="fr-FR"/>
              </w:rPr>
              <w:t>p</w:t>
            </w:r>
            <w:r w:rsidR="002868B3" w:rsidRPr="002868B3">
              <w:rPr>
                <w:rFonts w:cstheme="minorHAnsi"/>
                <w:lang w:val="fr-FR"/>
              </w:rPr>
              <w:t>a</w:t>
            </w:r>
            <w:r w:rsidR="002868B3">
              <w:rPr>
                <w:rFonts w:cstheme="minorHAnsi"/>
                <w:lang w:val="fr-FR"/>
              </w:rPr>
              <w:t>y</w:t>
            </w:r>
            <w:r w:rsidR="002868B3" w:rsidRPr="002868B3">
              <w:rPr>
                <w:rFonts w:cstheme="minorHAnsi"/>
                <w:lang w:val="fr-FR"/>
              </w:rPr>
              <w:t>s</w:t>
            </w:r>
            <w:r w:rsidRPr="00461077">
              <w:rPr>
                <w:rFonts w:cstheme="minorHAnsi"/>
                <w:lang w:val="fr-FR"/>
              </w:rPr>
              <w:t xml:space="preserve"> et 3) de la capacité à prendre des mesures </w:t>
            </w:r>
            <w:r w:rsidRPr="002868B3">
              <w:rPr>
                <w:rFonts w:cstheme="minorHAnsi"/>
                <w:u w:val="single"/>
                <w:lang w:val="fr-FR"/>
              </w:rPr>
              <w:t>adaptées</w:t>
            </w:r>
            <w:r w:rsidRPr="00461077">
              <w:rPr>
                <w:rFonts w:cstheme="minorHAnsi"/>
                <w:lang w:val="fr-FR"/>
              </w:rPr>
              <w:t>.</w:t>
            </w:r>
            <w:r w:rsidR="001841AC">
              <w:rPr>
                <w:rFonts w:cstheme="minorHAnsi"/>
                <w:lang w:val="fr-FR"/>
              </w:rPr>
              <w:t xml:space="preserve"> </w:t>
            </w:r>
            <w:r w:rsidRPr="00461077">
              <w:rPr>
                <w:rFonts w:cstheme="minorHAnsi"/>
                <w:lang w:val="fr-FR"/>
              </w:rPr>
              <w:t xml:space="preserve">Le risque d'une </w:t>
            </w:r>
            <w:r w:rsidRPr="00B14E7A">
              <w:rPr>
                <w:rFonts w:cstheme="minorHAnsi"/>
                <w:u w:val="single"/>
                <w:lang w:val="fr-FR"/>
              </w:rPr>
              <w:t>distorsion</w:t>
            </w:r>
            <w:r w:rsidRPr="00461077">
              <w:rPr>
                <w:rFonts w:cstheme="minorHAnsi"/>
                <w:lang w:val="fr-FR"/>
              </w:rPr>
              <w:t xml:space="preserve"> des </w:t>
            </w:r>
            <w:r w:rsidRPr="00B14E7A">
              <w:rPr>
                <w:rFonts w:cstheme="minorHAnsi"/>
                <w:u w:val="single"/>
                <w:lang w:val="fr-FR"/>
              </w:rPr>
              <w:t>conditions de concurrence équitables</w:t>
            </w:r>
            <w:r w:rsidRPr="00461077">
              <w:rPr>
                <w:rFonts w:cstheme="minorHAnsi"/>
                <w:lang w:val="fr-FR"/>
              </w:rPr>
              <w:t xml:space="preserve"> au sein du </w:t>
            </w:r>
            <w:r w:rsidRPr="00B14E7A">
              <w:rPr>
                <w:rFonts w:cstheme="minorHAnsi"/>
                <w:u w:val="single"/>
                <w:lang w:val="fr-FR"/>
              </w:rPr>
              <w:t>marché unique</w:t>
            </w:r>
            <w:r w:rsidRPr="00461077">
              <w:rPr>
                <w:rFonts w:cstheme="minorHAnsi"/>
                <w:lang w:val="fr-FR"/>
              </w:rPr>
              <w:t xml:space="preserve"> pourrait </w:t>
            </w:r>
            <w:r w:rsidR="00B14E7A">
              <w:rPr>
                <w:rFonts w:cstheme="minorHAnsi"/>
                <w:lang w:val="fr-FR"/>
              </w:rPr>
              <w:t>résulter</w:t>
            </w:r>
            <w:r w:rsidRPr="00461077">
              <w:rPr>
                <w:rFonts w:cstheme="minorHAnsi"/>
                <w:lang w:val="fr-FR"/>
              </w:rPr>
              <w:t xml:space="preserve"> </w:t>
            </w:r>
            <w:r w:rsidR="00B14E7A">
              <w:rPr>
                <w:rFonts w:cstheme="minorHAnsi"/>
                <w:lang w:val="fr-FR"/>
              </w:rPr>
              <w:t>aux</w:t>
            </w:r>
            <w:r w:rsidRPr="00461077">
              <w:rPr>
                <w:rFonts w:cstheme="minorHAnsi"/>
                <w:lang w:val="fr-FR"/>
              </w:rPr>
              <w:t xml:space="preserve"> </w:t>
            </w:r>
            <w:r w:rsidRPr="00B14E7A">
              <w:rPr>
                <w:rFonts w:cstheme="minorHAnsi"/>
                <w:u w:val="single"/>
                <w:lang w:val="fr-FR"/>
              </w:rPr>
              <w:t>divergences</w:t>
            </w:r>
            <w:r w:rsidRPr="00461077">
              <w:rPr>
                <w:rFonts w:cstheme="minorHAnsi"/>
                <w:lang w:val="fr-FR"/>
              </w:rPr>
              <w:t xml:space="preserve"> économiques </w:t>
            </w:r>
            <w:r w:rsidRPr="000B0AFD">
              <w:rPr>
                <w:rFonts w:cstheme="minorHAnsi"/>
                <w:lang w:val="fr-FR"/>
              </w:rPr>
              <w:t>croissantes</w:t>
            </w:r>
            <w:r w:rsidRPr="00461077">
              <w:rPr>
                <w:rFonts w:cstheme="minorHAnsi"/>
                <w:lang w:val="fr-FR"/>
              </w:rPr>
              <w:t xml:space="preserve"> </w:t>
            </w:r>
            <w:r w:rsidR="00B14E7A">
              <w:rPr>
                <w:rFonts w:cstheme="minorHAnsi"/>
                <w:lang w:val="fr-FR"/>
              </w:rPr>
              <w:t>dans</w:t>
            </w:r>
            <w:r w:rsidRPr="00461077">
              <w:rPr>
                <w:rFonts w:cstheme="minorHAnsi"/>
                <w:lang w:val="fr-FR"/>
              </w:rPr>
              <w:t xml:space="preserve"> l'Union et </w:t>
            </w:r>
            <w:r w:rsidRPr="00B14E7A">
              <w:rPr>
                <w:rFonts w:cstheme="minorHAnsi"/>
                <w:u w:val="single"/>
                <w:lang w:val="fr-FR"/>
              </w:rPr>
              <w:t>aggraver</w:t>
            </w:r>
            <w:r w:rsidRPr="00461077">
              <w:rPr>
                <w:rFonts w:cstheme="minorHAnsi"/>
                <w:lang w:val="fr-FR"/>
              </w:rPr>
              <w:t xml:space="preserve"> les </w:t>
            </w:r>
            <w:r w:rsidRPr="00B14E7A">
              <w:rPr>
                <w:rFonts w:cstheme="minorHAnsi"/>
                <w:u w:val="single"/>
                <w:lang w:val="fr-FR"/>
              </w:rPr>
              <w:t>défis de croissance</w:t>
            </w:r>
            <w:r w:rsidRPr="00461077">
              <w:rPr>
                <w:rFonts w:cstheme="minorHAnsi"/>
                <w:lang w:val="fr-FR"/>
              </w:rPr>
              <w:t xml:space="preserve"> à long terme de l'Europe.</w:t>
            </w:r>
          </w:p>
          <w:p w14:paraId="5C63C5C5" w14:textId="77777777" w:rsidR="000A073E" w:rsidRPr="00881FED" w:rsidRDefault="000A073E" w:rsidP="0039184D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</w:p>
          <w:p w14:paraId="0CFDA7EF" w14:textId="7C0B1E63" w:rsidR="000A073E" w:rsidRDefault="000A073E" w:rsidP="0039184D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  <w:r w:rsidRPr="00306E32">
              <w:rPr>
                <w:rFonts w:cstheme="minorHAnsi"/>
                <w:lang w:val="fr-FR"/>
              </w:rPr>
              <w:t xml:space="preserve">Pour </w:t>
            </w:r>
            <w:r w:rsidR="00B14E7A" w:rsidRPr="009F4EC7">
              <w:rPr>
                <w:rFonts w:cstheme="minorHAnsi"/>
                <w:lang w:val="fr-FR"/>
              </w:rPr>
              <w:t>assurer</w:t>
            </w:r>
            <w:r w:rsidRPr="00306E32">
              <w:rPr>
                <w:rFonts w:cstheme="minorHAnsi"/>
                <w:lang w:val="fr-FR"/>
              </w:rPr>
              <w:t xml:space="preserve"> une </w:t>
            </w:r>
            <w:r w:rsidRPr="005760FC">
              <w:rPr>
                <w:rFonts w:cstheme="minorHAnsi"/>
                <w:u w:val="single"/>
                <w:lang w:val="fr-FR"/>
              </w:rPr>
              <w:t>reprise</w:t>
            </w:r>
            <w:r w:rsidRPr="00306E32">
              <w:rPr>
                <w:rFonts w:cstheme="minorHAnsi"/>
                <w:lang w:val="fr-FR"/>
              </w:rPr>
              <w:t xml:space="preserve"> économique </w:t>
            </w:r>
            <w:r w:rsidRPr="009F4EC7">
              <w:rPr>
                <w:rFonts w:cstheme="minorHAnsi"/>
                <w:lang w:val="fr-FR"/>
              </w:rPr>
              <w:t>durable</w:t>
            </w:r>
            <w:r w:rsidRPr="00306E32">
              <w:rPr>
                <w:rFonts w:cstheme="minorHAnsi"/>
                <w:lang w:val="fr-FR"/>
              </w:rPr>
              <w:t xml:space="preserve">, </w:t>
            </w:r>
            <w:r w:rsidR="00B14E7A">
              <w:rPr>
                <w:rFonts w:cstheme="minorHAnsi"/>
                <w:lang w:val="fr-FR"/>
              </w:rPr>
              <w:t>il faut</w:t>
            </w:r>
            <w:r w:rsidRPr="00306E32">
              <w:rPr>
                <w:rFonts w:cstheme="minorHAnsi"/>
                <w:lang w:val="fr-FR"/>
              </w:rPr>
              <w:t xml:space="preserve"> </w:t>
            </w:r>
            <w:r w:rsidR="00DF2701" w:rsidRPr="00DF2701">
              <w:rPr>
                <w:rFonts w:cstheme="minorHAnsi"/>
                <w:u w:val="single"/>
                <w:lang w:val="fr-FR"/>
              </w:rPr>
              <w:t xml:space="preserve">se </w:t>
            </w:r>
            <w:r w:rsidRPr="00DF2701">
              <w:rPr>
                <w:rFonts w:cstheme="minorHAnsi"/>
                <w:u w:val="single"/>
                <w:lang w:val="fr-FR"/>
              </w:rPr>
              <w:t>mettre d’accord sur</w:t>
            </w:r>
            <w:r w:rsidRPr="00306E32">
              <w:rPr>
                <w:rFonts w:cstheme="minorHAnsi"/>
                <w:lang w:val="fr-FR"/>
              </w:rPr>
              <w:t xml:space="preserve"> une stratégie </w:t>
            </w:r>
            <w:r w:rsidR="005760FC">
              <w:rPr>
                <w:rFonts w:cstheme="minorHAnsi"/>
                <w:lang w:val="fr-FR"/>
              </w:rPr>
              <w:t xml:space="preserve">qui va </w:t>
            </w:r>
            <w:r w:rsidRPr="00DF2701">
              <w:rPr>
                <w:rFonts w:cstheme="minorHAnsi"/>
                <w:u w:val="single"/>
                <w:lang w:val="fr-FR"/>
              </w:rPr>
              <w:t>atténuer</w:t>
            </w:r>
            <w:r w:rsidRPr="00306E32">
              <w:rPr>
                <w:rFonts w:cstheme="minorHAnsi"/>
                <w:lang w:val="fr-FR"/>
              </w:rPr>
              <w:t xml:space="preserve"> l’impact économique et social de la crise. </w:t>
            </w:r>
            <w:r w:rsidR="005760FC">
              <w:rPr>
                <w:rFonts w:cstheme="minorHAnsi"/>
                <w:lang w:val="fr-FR"/>
              </w:rPr>
              <w:t>L’UE doit</w:t>
            </w:r>
            <w:r w:rsidRPr="00306E32">
              <w:rPr>
                <w:rFonts w:cstheme="minorHAnsi"/>
                <w:lang w:val="fr-FR"/>
              </w:rPr>
              <w:t xml:space="preserve"> garantir la </w:t>
            </w:r>
            <w:r w:rsidRPr="00DF2701">
              <w:rPr>
                <w:rFonts w:cstheme="minorHAnsi"/>
                <w:u w:val="single"/>
                <w:lang w:val="fr-FR"/>
              </w:rPr>
              <w:t>résilience</w:t>
            </w:r>
            <w:r w:rsidRPr="00306E32">
              <w:rPr>
                <w:rFonts w:cstheme="minorHAnsi"/>
                <w:lang w:val="fr-FR"/>
              </w:rPr>
              <w:t xml:space="preserve"> économique et une croissance durable à long terme. L</w:t>
            </w:r>
            <w:r w:rsidR="00DF2701">
              <w:rPr>
                <w:rFonts w:cstheme="minorHAnsi"/>
                <w:lang w:val="fr-FR"/>
              </w:rPr>
              <w:t>’</w:t>
            </w:r>
            <w:r w:rsidRPr="00306E32">
              <w:rPr>
                <w:rFonts w:cstheme="minorHAnsi"/>
                <w:lang w:val="fr-FR"/>
              </w:rPr>
              <w:t>expérience</w:t>
            </w:r>
            <w:r w:rsidR="00DF2701">
              <w:rPr>
                <w:rFonts w:cstheme="minorHAnsi"/>
                <w:lang w:val="fr-FR"/>
              </w:rPr>
              <w:t xml:space="preserve"> nous </w:t>
            </w:r>
            <w:r w:rsidR="00DF2701" w:rsidRPr="00DF2701">
              <w:rPr>
                <w:rFonts w:cstheme="minorHAnsi"/>
                <w:u w:val="single"/>
                <w:lang w:val="fr-FR"/>
              </w:rPr>
              <w:t>instruit</w:t>
            </w:r>
            <w:r w:rsidR="00DF2701">
              <w:rPr>
                <w:rFonts w:cstheme="minorHAnsi"/>
                <w:lang w:val="fr-FR"/>
              </w:rPr>
              <w:t xml:space="preserve"> que </w:t>
            </w:r>
            <w:r w:rsidRPr="00306E32">
              <w:rPr>
                <w:rFonts w:cstheme="minorHAnsi"/>
                <w:lang w:val="fr-FR"/>
              </w:rPr>
              <w:t xml:space="preserve">les investissements </w:t>
            </w:r>
            <w:r w:rsidRPr="00DF2701">
              <w:rPr>
                <w:rFonts w:cstheme="minorHAnsi"/>
                <w:u w:val="single"/>
                <w:lang w:val="fr-FR"/>
              </w:rPr>
              <w:t>publics</w:t>
            </w:r>
            <w:r w:rsidRPr="00306E32">
              <w:rPr>
                <w:rFonts w:cstheme="minorHAnsi"/>
                <w:lang w:val="fr-FR"/>
              </w:rPr>
              <w:t xml:space="preserve"> sont souvent </w:t>
            </w:r>
            <w:r w:rsidRPr="00DF2701">
              <w:rPr>
                <w:rFonts w:cstheme="minorHAnsi"/>
                <w:u w:val="single"/>
                <w:lang w:val="fr-FR"/>
              </w:rPr>
              <w:t>considérablement</w:t>
            </w:r>
            <w:r w:rsidRPr="00306E32">
              <w:rPr>
                <w:rFonts w:cstheme="minorHAnsi"/>
                <w:lang w:val="fr-FR"/>
              </w:rPr>
              <w:t xml:space="preserve"> </w:t>
            </w:r>
            <w:r w:rsidRPr="00DF2701">
              <w:rPr>
                <w:rFonts w:cstheme="minorHAnsi"/>
                <w:u w:val="single"/>
                <w:lang w:val="fr-FR"/>
              </w:rPr>
              <w:t>réduits</w:t>
            </w:r>
            <w:r w:rsidRPr="00306E32">
              <w:rPr>
                <w:rFonts w:cstheme="minorHAnsi"/>
                <w:lang w:val="fr-FR"/>
              </w:rPr>
              <w:t xml:space="preserve"> en période de crise. </w:t>
            </w:r>
            <w:r w:rsidR="005760FC">
              <w:rPr>
                <w:rFonts w:cstheme="minorHAnsi"/>
                <w:lang w:val="fr-FR"/>
              </w:rPr>
              <w:t>C’</w:t>
            </w:r>
            <w:r w:rsidRPr="00306E32">
              <w:rPr>
                <w:rFonts w:cstheme="minorHAnsi"/>
                <w:lang w:val="fr-FR"/>
              </w:rPr>
              <w:t xml:space="preserve">est </w:t>
            </w:r>
            <w:r w:rsidRPr="00DF2701">
              <w:rPr>
                <w:rFonts w:cstheme="minorHAnsi"/>
                <w:u w:val="single"/>
                <w:lang w:val="fr-FR"/>
              </w:rPr>
              <w:t>cependant</w:t>
            </w:r>
            <w:r w:rsidRPr="00306E32">
              <w:rPr>
                <w:rFonts w:cstheme="minorHAnsi"/>
                <w:lang w:val="fr-FR"/>
              </w:rPr>
              <w:t xml:space="preserve"> essentiel de </w:t>
            </w:r>
            <w:r w:rsidRPr="00DF2701">
              <w:rPr>
                <w:rFonts w:cstheme="minorHAnsi"/>
                <w:u w:val="single"/>
                <w:lang w:val="fr-FR"/>
              </w:rPr>
              <w:t>soutenir</w:t>
            </w:r>
            <w:r w:rsidRPr="00306E32">
              <w:rPr>
                <w:rFonts w:cstheme="minorHAnsi"/>
                <w:lang w:val="fr-FR"/>
              </w:rPr>
              <w:t xml:space="preserve"> les investissements publics dans cette situation particulière. </w:t>
            </w:r>
            <w:r w:rsidR="005760FC">
              <w:rPr>
                <w:rFonts w:cstheme="minorHAnsi"/>
                <w:lang w:val="fr-FR"/>
              </w:rPr>
              <w:t>C’</w:t>
            </w:r>
            <w:r w:rsidRPr="00306E32">
              <w:rPr>
                <w:rFonts w:cstheme="minorHAnsi"/>
                <w:lang w:val="fr-FR"/>
              </w:rPr>
              <w:t xml:space="preserve">est nécessaire </w:t>
            </w:r>
            <w:r w:rsidR="001841AC">
              <w:rPr>
                <w:rFonts w:cstheme="minorHAnsi"/>
                <w:lang w:val="fr-FR"/>
              </w:rPr>
              <w:t>pour</w:t>
            </w:r>
            <w:r w:rsidRPr="00306E32">
              <w:rPr>
                <w:rFonts w:cstheme="minorHAnsi"/>
                <w:lang w:val="fr-FR"/>
              </w:rPr>
              <w:t xml:space="preserve"> </w:t>
            </w:r>
            <w:r w:rsidRPr="00DF2701">
              <w:rPr>
                <w:rFonts w:cstheme="minorHAnsi"/>
                <w:u w:val="single"/>
                <w:lang w:val="fr-FR"/>
              </w:rPr>
              <w:t>relever</w:t>
            </w:r>
            <w:r w:rsidRPr="00306E32">
              <w:rPr>
                <w:rFonts w:cstheme="minorHAnsi"/>
                <w:lang w:val="fr-FR"/>
              </w:rPr>
              <w:t xml:space="preserve"> les défis économiques et sociaux </w:t>
            </w:r>
            <w:r w:rsidRPr="00467FCA">
              <w:rPr>
                <w:rFonts w:cstheme="minorHAnsi"/>
                <w:u w:val="single"/>
                <w:lang w:val="fr-FR"/>
              </w:rPr>
              <w:t>liés à</w:t>
            </w:r>
            <w:r w:rsidRPr="00306E32">
              <w:rPr>
                <w:rFonts w:cstheme="minorHAnsi"/>
                <w:lang w:val="fr-FR"/>
              </w:rPr>
              <w:t xml:space="preserve"> cette crise pour </w:t>
            </w:r>
            <w:r w:rsidRPr="00467FCA">
              <w:rPr>
                <w:rFonts w:cstheme="minorHAnsi"/>
                <w:u w:val="single"/>
                <w:lang w:val="fr-FR"/>
              </w:rPr>
              <w:t>éviter</w:t>
            </w:r>
            <w:r w:rsidRPr="00306E32">
              <w:rPr>
                <w:rFonts w:cstheme="minorHAnsi"/>
                <w:lang w:val="fr-FR"/>
              </w:rPr>
              <w:t xml:space="preserve"> une </w:t>
            </w:r>
            <w:r w:rsidRPr="00467FCA">
              <w:rPr>
                <w:rFonts w:cstheme="minorHAnsi"/>
                <w:u w:val="single"/>
                <w:lang w:val="fr-FR"/>
              </w:rPr>
              <w:t>perte</w:t>
            </w:r>
            <w:r w:rsidRPr="00306E32">
              <w:rPr>
                <w:rFonts w:cstheme="minorHAnsi"/>
                <w:lang w:val="fr-FR"/>
              </w:rPr>
              <w:t xml:space="preserve"> durable de </w:t>
            </w:r>
            <w:r w:rsidR="00467FCA">
              <w:rPr>
                <w:rFonts w:cstheme="minorHAnsi"/>
                <w:lang w:val="fr-FR"/>
              </w:rPr>
              <w:t xml:space="preserve">la </w:t>
            </w:r>
            <w:r w:rsidRPr="00306E32">
              <w:rPr>
                <w:rFonts w:cstheme="minorHAnsi"/>
                <w:lang w:val="fr-FR"/>
              </w:rPr>
              <w:t xml:space="preserve">production et de l'emploi. En </w:t>
            </w:r>
            <w:r w:rsidR="005760FC">
              <w:rPr>
                <w:rFonts w:cstheme="minorHAnsi"/>
                <w:lang w:val="fr-FR"/>
              </w:rPr>
              <w:t>plus</w:t>
            </w:r>
            <w:r w:rsidRPr="00306E32">
              <w:rPr>
                <w:rFonts w:cstheme="minorHAnsi"/>
                <w:lang w:val="fr-FR"/>
              </w:rPr>
              <w:t xml:space="preserve">, une </w:t>
            </w:r>
            <w:r w:rsidRPr="00467FCA">
              <w:rPr>
                <w:rFonts w:cstheme="minorHAnsi"/>
                <w:u w:val="single"/>
                <w:lang w:val="fr-FR"/>
              </w:rPr>
              <w:t>reprise</w:t>
            </w:r>
            <w:r w:rsidRPr="00306E32">
              <w:rPr>
                <w:rFonts w:cstheme="minorHAnsi"/>
                <w:lang w:val="fr-FR"/>
              </w:rPr>
              <w:t xml:space="preserve"> durable et résiliente </w:t>
            </w:r>
            <w:r w:rsidRPr="00467FCA">
              <w:rPr>
                <w:rFonts w:cstheme="minorHAnsi"/>
                <w:u w:val="single"/>
                <w:lang w:val="fr-FR"/>
              </w:rPr>
              <w:t>nécessite</w:t>
            </w:r>
            <w:r w:rsidRPr="00306E32">
              <w:rPr>
                <w:rFonts w:cstheme="minorHAnsi"/>
                <w:lang w:val="fr-FR"/>
              </w:rPr>
              <w:t xml:space="preserve"> des investissements et des réformes </w:t>
            </w:r>
            <w:r w:rsidRPr="00467FCA">
              <w:rPr>
                <w:rFonts w:cstheme="minorHAnsi"/>
                <w:u w:val="single"/>
                <w:lang w:val="fr-FR"/>
              </w:rPr>
              <w:t>adéquats</w:t>
            </w:r>
            <w:r w:rsidRPr="00306E32">
              <w:rPr>
                <w:rFonts w:cstheme="minorHAnsi"/>
                <w:lang w:val="fr-FR"/>
              </w:rPr>
              <w:t xml:space="preserve">. Les stratégies de relance </w:t>
            </w:r>
            <w:r w:rsidRPr="00467FCA">
              <w:rPr>
                <w:rFonts w:cstheme="minorHAnsi"/>
                <w:u w:val="single"/>
                <w:lang w:val="fr-FR"/>
              </w:rPr>
              <w:t>mises en œuvre</w:t>
            </w:r>
            <w:r w:rsidRPr="00306E32">
              <w:rPr>
                <w:rFonts w:cstheme="minorHAnsi"/>
                <w:lang w:val="fr-FR"/>
              </w:rPr>
              <w:t xml:space="preserve"> par les États membres doivent donc relever les défis liés à la </w:t>
            </w:r>
            <w:r w:rsidRPr="00467FCA">
              <w:rPr>
                <w:rFonts w:cstheme="minorHAnsi"/>
                <w:u w:val="single"/>
                <w:lang w:val="fr-FR"/>
              </w:rPr>
              <w:t>transition verte</w:t>
            </w:r>
            <w:r w:rsidRPr="00306E32">
              <w:rPr>
                <w:rFonts w:cstheme="minorHAnsi"/>
                <w:lang w:val="fr-FR"/>
              </w:rPr>
              <w:t xml:space="preserve"> et à la transition </w:t>
            </w:r>
            <w:r w:rsidRPr="00467FCA">
              <w:rPr>
                <w:rFonts w:cstheme="minorHAnsi"/>
                <w:u w:val="single"/>
                <w:lang w:val="fr-FR"/>
              </w:rPr>
              <w:t>numérique</w:t>
            </w:r>
            <w:r w:rsidRPr="00306E32">
              <w:rPr>
                <w:rFonts w:cstheme="minorHAnsi"/>
                <w:lang w:val="fr-FR"/>
              </w:rPr>
              <w:t xml:space="preserve"> et soutenir les investissements et les réformes dans ces deux domaines </w:t>
            </w:r>
            <w:r w:rsidRPr="00467FCA">
              <w:rPr>
                <w:rFonts w:cstheme="minorHAnsi"/>
                <w:u w:val="single"/>
                <w:lang w:val="fr-FR"/>
              </w:rPr>
              <w:t>clés</w:t>
            </w:r>
            <w:r w:rsidRPr="00306E32">
              <w:rPr>
                <w:rFonts w:cstheme="minorHAnsi"/>
                <w:lang w:val="fr-FR"/>
              </w:rPr>
              <w:t>.</w:t>
            </w:r>
          </w:p>
          <w:p w14:paraId="640D9D37" w14:textId="77777777" w:rsidR="000A073E" w:rsidRDefault="000A073E" w:rsidP="0039184D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</w:p>
          <w:p w14:paraId="55EF3AE3" w14:textId="7CCAEBC4" w:rsidR="000A073E" w:rsidRDefault="000A073E" w:rsidP="00CF3D3F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  <w:r w:rsidRPr="00AE22FA">
              <w:rPr>
                <w:rFonts w:cstheme="minorHAnsi"/>
                <w:lang w:val="fr-FR"/>
              </w:rPr>
              <w:t xml:space="preserve">La Commission européenne propose un </w:t>
            </w:r>
            <w:r w:rsidR="005760FC">
              <w:rPr>
                <w:rFonts w:cstheme="minorHAnsi"/>
                <w:lang w:val="fr-FR"/>
              </w:rPr>
              <w:t>f</w:t>
            </w:r>
            <w:r w:rsidRPr="00AE22FA">
              <w:rPr>
                <w:rFonts w:cstheme="minorHAnsi"/>
                <w:lang w:val="fr-FR"/>
              </w:rPr>
              <w:t xml:space="preserve">ond pour la reprise et la résilience qui offre un soutien financier aux investissements et aux réformes publiques pour les États membres. Il </w:t>
            </w:r>
            <w:r w:rsidR="00CB4646">
              <w:rPr>
                <w:rFonts w:cstheme="minorHAnsi"/>
                <w:lang w:val="fr-FR"/>
              </w:rPr>
              <w:t>va aider</w:t>
            </w:r>
            <w:r w:rsidRPr="00AE22FA">
              <w:rPr>
                <w:rFonts w:cstheme="minorHAnsi"/>
                <w:lang w:val="fr-FR"/>
              </w:rPr>
              <w:t xml:space="preserve"> les États membres à relever les défis économiques et sociaux dans divers </w:t>
            </w:r>
            <w:r w:rsidRPr="00CB4646">
              <w:rPr>
                <w:rFonts w:cstheme="minorHAnsi"/>
                <w:u w:val="single"/>
                <w:lang w:val="fr-FR"/>
              </w:rPr>
              <w:t>domaines</w:t>
            </w:r>
            <w:r w:rsidRPr="00AE22FA">
              <w:rPr>
                <w:rFonts w:cstheme="minorHAnsi"/>
                <w:lang w:val="fr-FR"/>
              </w:rPr>
              <w:t xml:space="preserve">, </w:t>
            </w:r>
            <w:r w:rsidRPr="00CB4646">
              <w:rPr>
                <w:rFonts w:cstheme="minorHAnsi"/>
                <w:u w:val="single"/>
                <w:lang w:val="fr-FR"/>
              </w:rPr>
              <w:t>tels que</w:t>
            </w:r>
            <w:r w:rsidRPr="00AE22FA">
              <w:rPr>
                <w:rFonts w:cstheme="minorHAnsi"/>
                <w:lang w:val="fr-FR"/>
              </w:rPr>
              <w:t xml:space="preserve"> </w:t>
            </w:r>
            <w:r w:rsidR="00CB4646">
              <w:rPr>
                <w:rFonts w:cstheme="minorHAnsi"/>
                <w:lang w:val="fr-FR"/>
              </w:rPr>
              <w:t xml:space="preserve">le </w:t>
            </w:r>
            <w:r w:rsidRPr="00AE22FA">
              <w:rPr>
                <w:rFonts w:cstheme="minorHAnsi"/>
                <w:lang w:val="fr-FR"/>
              </w:rPr>
              <w:t xml:space="preserve">social, </w:t>
            </w:r>
            <w:r w:rsidRPr="00DB07B8">
              <w:rPr>
                <w:rFonts w:cstheme="minorHAnsi"/>
                <w:u w:val="single"/>
                <w:lang w:val="fr-FR"/>
              </w:rPr>
              <w:t>l'emploi</w:t>
            </w:r>
            <w:r w:rsidRPr="00AE22FA">
              <w:rPr>
                <w:rFonts w:cstheme="minorHAnsi"/>
                <w:lang w:val="fr-FR"/>
              </w:rPr>
              <w:t xml:space="preserve">, l'éducation, </w:t>
            </w:r>
            <w:r w:rsidR="00DB07B8" w:rsidRPr="00AE22FA">
              <w:rPr>
                <w:rFonts w:cstheme="minorHAnsi"/>
                <w:lang w:val="fr-FR"/>
              </w:rPr>
              <w:t xml:space="preserve">la </w:t>
            </w:r>
            <w:r w:rsidR="00DB07B8" w:rsidRPr="00DB07B8">
              <w:rPr>
                <w:rFonts w:cstheme="minorHAnsi"/>
                <w:u w:val="single"/>
                <w:lang w:val="fr-FR"/>
              </w:rPr>
              <w:t>santé</w:t>
            </w:r>
            <w:r w:rsidR="00DB07B8">
              <w:rPr>
                <w:rFonts w:cstheme="minorHAnsi"/>
                <w:lang w:val="fr-FR"/>
              </w:rPr>
              <w:t xml:space="preserve">, </w:t>
            </w:r>
            <w:r w:rsidRPr="00AE22FA">
              <w:rPr>
                <w:rFonts w:cstheme="minorHAnsi"/>
                <w:lang w:val="fr-FR"/>
              </w:rPr>
              <w:t xml:space="preserve">la </w:t>
            </w:r>
            <w:r w:rsidRPr="00DB07B8">
              <w:rPr>
                <w:rFonts w:cstheme="minorHAnsi"/>
                <w:u w:val="single"/>
                <w:lang w:val="fr-FR"/>
              </w:rPr>
              <w:t>recherche</w:t>
            </w:r>
            <w:r w:rsidRPr="00AE22FA">
              <w:rPr>
                <w:rFonts w:cstheme="minorHAnsi"/>
                <w:lang w:val="fr-FR"/>
              </w:rPr>
              <w:t xml:space="preserve"> et l'innovation. Ces investissements et réformes doivent </w:t>
            </w:r>
            <w:r w:rsidRPr="00CB4646">
              <w:rPr>
                <w:rFonts w:cstheme="minorHAnsi"/>
                <w:u w:val="single"/>
                <w:lang w:val="fr-FR"/>
              </w:rPr>
              <w:t>également</w:t>
            </w:r>
            <w:r w:rsidRPr="00AE22FA">
              <w:rPr>
                <w:rFonts w:cstheme="minorHAnsi"/>
                <w:lang w:val="fr-FR"/>
              </w:rPr>
              <w:t xml:space="preserve"> se concentrer sur la transition verte et la transition numérique, </w:t>
            </w:r>
            <w:r w:rsidR="00CB4646">
              <w:rPr>
                <w:rFonts w:cstheme="minorHAnsi"/>
                <w:lang w:val="fr-FR"/>
              </w:rPr>
              <w:t xml:space="preserve">qui </w:t>
            </w:r>
            <w:r w:rsidRPr="00AE22FA">
              <w:rPr>
                <w:rFonts w:cstheme="minorHAnsi"/>
                <w:lang w:val="fr-FR"/>
              </w:rPr>
              <w:t>garantiss</w:t>
            </w:r>
            <w:r w:rsidR="00CB4646">
              <w:rPr>
                <w:rFonts w:cstheme="minorHAnsi"/>
                <w:lang w:val="fr-FR"/>
              </w:rPr>
              <w:t>ent</w:t>
            </w:r>
            <w:r w:rsidRPr="00AE22FA">
              <w:rPr>
                <w:rFonts w:cstheme="minorHAnsi"/>
                <w:lang w:val="fr-FR"/>
              </w:rPr>
              <w:t xml:space="preserve"> ainsi une reprise durable. </w:t>
            </w:r>
            <w:r w:rsidR="00CB4646">
              <w:rPr>
                <w:rFonts w:cstheme="minorHAnsi"/>
                <w:lang w:val="fr-FR"/>
              </w:rPr>
              <w:t>L’UE doit</w:t>
            </w:r>
            <w:r w:rsidRPr="00AE22FA">
              <w:rPr>
                <w:rFonts w:cstheme="minorHAnsi"/>
                <w:lang w:val="fr-FR"/>
              </w:rPr>
              <w:t xml:space="preserve"> investir dans les technologies vertes et numériques pour </w:t>
            </w:r>
            <w:r w:rsidRPr="00DB07B8">
              <w:rPr>
                <w:rFonts w:cstheme="minorHAnsi"/>
                <w:u w:val="single"/>
                <w:lang w:val="fr-FR"/>
              </w:rPr>
              <w:t>créer</w:t>
            </w:r>
            <w:r w:rsidRPr="00AE22FA">
              <w:rPr>
                <w:rFonts w:cstheme="minorHAnsi"/>
                <w:lang w:val="fr-FR"/>
              </w:rPr>
              <w:t xml:space="preserve"> </w:t>
            </w:r>
            <w:r w:rsidR="00DB07B8">
              <w:rPr>
                <w:rFonts w:cstheme="minorHAnsi"/>
                <w:lang w:val="fr-FR"/>
              </w:rPr>
              <w:t xml:space="preserve">des </w:t>
            </w:r>
            <w:r w:rsidRPr="00AE22FA">
              <w:rPr>
                <w:rFonts w:cstheme="minorHAnsi"/>
                <w:lang w:val="fr-FR"/>
              </w:rPr>
              <w:t>emplois et une croissance durable.</w:t>
            </w:r>
          </w:p>
          <w:p w14:paraId="60E3E9A7" w14:textId="77777777" w:rsidR="00DB07B8" w:rsidRPr="00881FED" w:rsidRDefault="00DB07B8" w:rsidP="00CF3D3F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</w:p>
          <w:p w14:paraId="23E9CC26" w14:textId="51325EB9" w:rsidR="000A073E" w:rsidRDefault="000A073E" w:rsidP="00CF3D3F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  <w:r w:rsidRPr="00E33F66">
              <w:rPr>
                <w:rFonts w:cstheme="minorHAnsi"/>
                <w:lang w:val="fr-FR"/>
              </w:rPr>
              <w:t xml:space="preserve">La Commission européenne propose </w:t>
            </w:r>
            <w:r w:rsidRPr="00EE78C7">
              <w:rPr>
                <w:rFonts w:cstheme="minorHAnsi"/>
                <w:u w:val="single"/>
                <w:lang w:val="fr-FR"/>
              </w:rPr>
              <w:t>donc</w:t>
            </w:r>
            <w:r>
              <w:rPr>
                <w:rFonts w:cstheme="minorHAnsi"/>
                <w:lang w:val="fr-FR"/>
              </w:rPr>
              <w:t> :</w:t>
            </w:r>
          </w:p>
          <w:p w14:paraId="0A06FF2E" w14:textId="7D28C6F6" w:rsidR="000A073E" w:rsidRDefault="000A073E" w:rsidP="00CF3D3F">
            <w:pPr>
              <w:pStyle w:val="Listeafsnit"/>
              <w:numPr>
                <w:ilvl w:val="0"/>
                <w:numId w:val="14"/>
              </w:numPr>
              <w:spacing w:line="240" w:lineRule="exact"/>
              <w:jc w:val="both"/>
              <w:rPr>
                <w:rFonts w:cstheme="minorHAnsi"/>
                <w:lang w:val="fr-FR"/>
              </w:rPr>
            </w:pPr>
            <w:r w:rsidRPr="006520F9">
              <w:rPr>
                <w:rFonts w:cstheme="minorHAnsi"/>
                <w:lang w:val="fr-FR"/>
              </w:rPr>
              <w:t xml:space="preserve">La création d’un </w:t>
            </w:r>
            <w:r w:rsidR="00DB07B8">
              <w:rPr>
                <w:rFonts w:cstheme="minorHAnsi"/>
                <w:lang w:val="fr-FR"/>
              </w:rPr>
              <w:t>F</w:t>
            </w:r>
            <w:r w:rsidRPr="006520F9">
              <w:rPr>
                <w:rFonts w:cstheme="minorHAnsi"/>
                <w:lang w:val="fr-FR"/>
              </w:rPr>
              <w:t xml:space="preserve">ond de </w:t>
            </w:r>
            <w:r w:rsidR="00DB07B8">
              <w:rPr>
                <w:rFonts w:cstheme="minorHAnsi"/>
                <w:lang w:val="fr-FR"/>
              </w:rPr>
              <w:t>R</w:t>
            </w:r>
            <w:r w:rsidRPr="006520F9">
              <w:rPr>
                <w:rFonts w:cstheme="minorHAnsi"/>
                <w:lang w:val="fr-FR"/>
              </w:rPr>
              <w:t xml:space="preserve">elance et de Résilience (FRR) d’un </w:t>
            </w:r>
            <w:r w:rsidRPr="00EE78C7">
              <w:rPr>
                <w:rFonts w:cstheme="minorHAnsi"/>
                <w:u w:val="single"/>
                <w:lang w:val="fr-FR"/>
              </w:rPr>
              <w:t>montant</w:t>
            </w:r>
            <w:r w:rsidRPr="006520F9">
              <w:rPr>
                <w:rFonts w:cstheme="minorHAnsi"/>
                <w:lang w:val="fr-FR"/>
              </w:rPr>
              <w:t xml:space="preserve"> total de 800 </w:t>
            </w:r>
            <w:r w:rsidR="00DB07B8">
              <w:rPr>
                <w:rFonts w:cstheme="minorHAnsi"/>
                <w:lang w:val="fr-FR"/>
              </w:rPr>
              <w:t>milliards</w:t>
            </w:r>
            <w:r w:rsidRPr="006520F9">
              <w:rPr>
                <w:rFonts w:cstheme="minorHAnsi"/>
                <w:lang w:val="fr-FR"/>
              </w:rPr>
              <w:t xml:space="preserve"> d’euros pour </w:t>
            </w:r>
            <w:r w:rsidRPr="00EE78C7">
              <w:rPr>
                <w:rFonts w:cstheme="minorHAnsi"/>
                <w:u w:val="single"/>
                <w:lang w:val="fr-FR"/>
              </w:rPr>
              <w:t>surmonter</w:t>
            </w:r>
            <w:r w:rsidRPr="006520F9">
              <w:rPr>
                <w:rFonts w:cstheme="minorHAnsi"/>
                <w:lang w:val="fr-FR"/>
              </w:rPr>
              <w:t xml:space="preserve"> la crise du COVID.</w:t>
            </w:r>
          </w:p>
          <w:p w14:paraId="528D0C28" w14:textId="0858F162" w:rsidR="000A073E" w:rsidRDefault="000A073E" w:rsidP="00CF3D3F">
            <w:pPr>
              <w:pStyle w:val="Listeafsnit"/>
              <w:numPr>
                <w:ilvl w:val="0"/>
                <w:numId w:val="14"/>
              </w:numPr>
              <w:spacing w:line="240" w:lineRule="exact"/>
              <w:jc w:val="both"/>
              <w:rPr>
                <w:rFonts w:cstheme="minorHAnsi"/>
                <w:lang w:val="fr-FR"/>
              </w:rPr>
            </w:pPr>
            <w:r w:rsidRPr="00126920">
              <w:rPr>
                <w:rFonts w:cstheme="minorHAnsi"/>
                <w:lang w:val="fr-FR"/>
              </w:rPr>
              <w:t xml:space="preserve">L’UE </w:t>
            </w:r>
            <w:r w:rsidRPr="00EE78C7">
              <w:rPr>
                <w:rFonts w:cstheme="minorHAnsi"/>
                <w:u w:val="single"/>
                <w:lang w:val="fr-FR"/>
              </w:rPr>
              <w:t>émet</w:t>
            </w:r>
            <w:r w:rsidRPr="00126920">
              <w:rPr>
                <w:rFonts w:cstheme="minorHAnsi"/>
                <w:lang w:val="fr-FR"/>
              </w:rPr>
              <w:t xml:space="preserve"> une </w:t>
            </w:r>
            <w:r w:rsidRPr="00EE78C7">
              <w:rPr>
                <w:rFonts w:cstheme="minorHAnsi"/>
                <w:u w:val="single"/>
                <w:lang w:val="fr-FR"/>
              </w:rPr>
              <w:t>dette</w:t>
            </w:r>
            <w:r w:rsidRPr="00126920">
              <w:rPr>
                <w:rFonts w:cstheme="minorHAnsi"/>
                <w:lang w:val="fr-FR"/>
              </w:rPr>
              <w:t xml:space="preserve"> commune </w:t>
            </w:r>
            <w:r w:rsidR="00EE78C7">
              <w:rPr>
                <w:rFonts w:cstheme="minorHAnsi"/>
                <w:lang w:val="fr-FR"/>
              </w:rPr>
              <w:t xml:space="preserve">qui peut </w:t>
            </w:r>
            <w:r w:rsidRPr="00EE78C7">
              <w:rPr>
                <w:rFonts w:cstheme="minorHAnsi"/>
                <w:u w:val="single"/>
                <w:lang w:val="fr-FR"/>
              </w:rPr>
              <w:t>atteindre</w:t>
            </w:r>
            <w:r w:rsidRPr="00126920">
              <w:rPr>
                <w:rFonts w:cstheme="minorHAnsi"/>
                <w:lang w:val="fr-FR"/>
              </w:rPr>
              <w:t xml:space="preserve"> 800 milliards d’euros pour financer le FRR</w:t>
            </w:r>
            <w:r>
              <w:rPr>
                <w:rFonts w:cstheme="minorHAnsi"/>
                <w:lang w:val="fr-FR"/>
              </w:rPr>
              <w:t>.</w:t>
            </w:r>
          </w:p>
          <w:p w14:paraId="28A28F01" w14:textId="2EE077B2" w:rsidR="000A073E" w:rsidRDefault="000A073E" w:rsidP="00CF3D3F">
            <w:pPr>
              <w:pStyle w:val="Listeafsnit"/>
              <w:numPr>
                <w:ilvl w:val="0"/>
                <w:numId w:val="14"/>
              </w:numPr>
              <w:spacing w:line="240" w:lineRule="exact"/>
              <w:jc w:val="both"/>
              <w:rPr>
                <w:rFonts w:cstheme="minorHAnsi"/>
                <w:lang w:val="fr-FR"/>
              </w:rPr>
            </w:pPr>
            <w:r w:rsidRPr="00427119">
              <w:rPr>
                <w:rFonts w:cstheme="minorHAnsi"/>
                <w:lang w:val="fr-FR"/>
              </w:rPr>
              <w:t xml:space="preserve">50% des 800 milliards d'euros </w:t>
            </w:r>
            <w:r w:rsidR="00EE78C7">
              <w:rPr>
                <w:rFonts w:cstheme="minorHAnsi"/>
                <w:lang w:val="fr-FR"/>
              </w:rPr>
              <w:t>peuvent</w:t>
            </w:r>
            <w:r w:rsidRPr="00427119">
              <w:rPr>
                <w:rFonts w:cstheme="minorHAnsi"/>
                <w:lang w:val="fr-FR"/>
              </w:rPr>
              <w:t xml:space="preserve"> être </w:t>
            </w:r>
            <w:r w:rsidRPr="00EE78C7">
              <w:rPr>
                <w:rFonts w:cstheme="minorHAnsi"/>
                <w:u w:val="single"/>
                <w:lang w:val="fr-FR"/>
              </w:rPr>
              <w:t>demandés</w:t>
            </w:r>
            <w:r w:rsidRPr="00427119">
              <w:rPr>
                <w:rFonts w:cstheme="minorHAnsi"/>
                <w:lang w:val="fr-FR"/>
              </w:rPr>
              <w:t xml:space="preserve"> par les États membres </w:t>
            </w:r>
            <w:r w:rsidRPr="00EE78C7">
              <w:rPr>
                <w:rFonts w:cstheme="minorHAnsi"/>
                <w:u w:val="single"/>
                <w:lang w:val="fr-FR"/>
              </w:rPr>
              <w:t>sous forme de</w:t>
            </w:r>
            <w:r w:rsidRPr="00427119">
              <w:rPr>
                <w:rFonts w:cstheme="minorHAnsi"/>
                <w:lang w:val="fr-FR"/>
              </w:rPr>
              <w:t xml:space="preserve"> </w:t>
            </w:r>
            <w:r w:rsidRPr="00EE78C7">
              <w:rPr>
                <w:rFonts w:cstheme="minorHAnsi"/>
                <w:u w:val="single"/>
                <w:lang w:val="fr-FR"/>
              </w:rPr>
              <w:t>prêts</w:t>
            </w:r>
            <w:r w:rsidRPr="00427119">
              <w:rPr>
                <w:rFonts w:cstheme="minorHAnsi"/>
                <w:lang w:val="fr-FR"/>
              </w:rPr>
              <w:t xml:space="preserve"> qu</w:t>
            </w:r>
            <w:r w:rsidR="00EE78C7">
              <w:rPr>
                <w:rFonts w:cstheme="minorHAnsi"/>
                <w:lang w:val="fr-FR"/>
              </w:rPr>
              <w:t xml:space="preserve">’il faut </w:t>
            </w:r>
            <w:r w:rsidRPr="00EE78C7">
              <w:rPr>
                <w:rFonts w:cstheme="minorHAnsi"/>
                <w:u w:val="single"/>
                <w:lang w:val="fr-FR"/>
              </w:rPr>
              <w:t>rembours</w:t>
            </w:r>
            <w:r w:rsidR="00EE78C7" w:rsidRPr="00EE78C7">
              <w:rPr>
                <w:rFonts w:cstheme="minorHAnsi"/>
                <w:u w:val="single"/>
                <w:lang w:val="fr-FR"/>
              </w:rPr>
              <w:t>er</w:t>
            </w:r>
            <w:r w:rsidRPr="00427119">
              <w:rPr>
                <w:rFonts w:cstheme="minorHAnsi"/>
                <w:lang w:val="fr-FR"/>
              </w:rPr>
              <w:t>.</w:t>
            </w:r>
          </w:p>
          <w:p w14:paraId="7A7704A7" w14:textId="0701B5EA" w:rsidR="000A073E" w:rsidRDefault="000A073E" w:rsidP="00CF3D3F">
            <w:pPr>
              <w:pStyle w:val="Listeafsnit"/>
              <w:numPr>
                <w:ilvl w:val="0"/>
                <w:numId w:val="14"/>
              </w:numPr>
              <w:spacing w:line="240" w:lineRule="exact"/>
              <w:jc w:val="both"/>
              <w:rPr>
                <w:rFonts w:cstheme="minorHAnsi"/>
                <w:lang w:val="fr-FR"/>
              </w:rPr>
            </w:pPr>
            <w:r w:rsidRPr="002A163B">
              <w:rPr>
                <w:rFonts w:cstheme="minorHAnsi"/>
                <w:lang w:val="fr-FR"/>
              </w:rPr>
              <w:t xml:space="preserve">50% des 800 milliards d'euros </w:t>
            </w:r>
            <w:r w:rsidR="00EE78C7">
              <w:rPr>
                <w:rFonts w:cstheme="minorHAnsi"/>
                <w:lang w:val="fr-FR"/>
              </w:rPr>
              <w:t>peut</w:t>
            </w:r>
            <w:r w:rsidRPr="002A163B">
              <w:rPr>
                <w:rFonts w:cstheme="minorHAnsi"/>
                <w:lang w:val="fr-FR"/>
              </w:rPr>
              <w:t xml:space="preserve"> être demandés par les États membres sous forme de </w:t>
            </w:r>
            <w:r w:rsidRPr="00EE78C7">
              <w:rPr>
                <w:rFonts w:cstheme="minorHAnsi"/>
                <w:u w:val="single"/>
                <w:lang w:val="fr-FR"/>
              </w:rPr>
              <w:t>subventions</w:t>
            </w:r>
            <w:r w:rsidRPr="002A163B">
              <w:rPr>
                <w:rFonts w:cstheme="minorHAnsi"/>
                <w:lang w:val="fr-FR"/>
              </w:rPr>
              <w:t xml:space="preserve"> non </w:t>
            </w:r>
            <w:r w:rsidRPr="00EE78C7">
              <w:rPr>
                <w:rFonts w:cstheme="minorHAnsi"/>
                <w:lang w:val="fr-FR"/>
              </w:rPr>
              <w:t>remboursables</w:t>
            </w:r>
            <w:r>
              <w:rPr>
                <w:rFonts w:cstheme="minorHAnsi"/>
                <w:lang w:val="fr-FR"/>
              </w:rPr>
              <w:t>.</w:t>
            </w:r>
          </w:p>
          <w:p w14:paraId="66421C55" w14:textId="67AC809D" w:rsidR="000A073E" w:rsidRPr="00BA2335" w:rsidRDefault="000A073E" w:rsidP="00AE3E17">
            <w:pPr>
              <w:pStyle w:val="Listeafsnit"/>
              <w:numPr>
                <w:ilvl w:val="0"/>
                <w:numId w:val="14"/>
              </w:numPr>
              <w:spacing w:line="240" w:lineRule="exact"/>
              <w:jc w:val="both"/>
              <w:rPr>
                <w:rFonts w:cstheme="minorHAnsi"/>
                <w:lang w:val="fr-FR"/>
              </w:rPr>
            </w:pPr>
            <w:r w:rsidRPr="00BA2335">
              <w:rPr>
                <w:rFonts w:cstheme="minorHAnsi"/>
                <w:lang w:val="fr-FR"/>
              </w:rPr>
              <w:t xml:space="preserve">30% de l’argent du FRR doivent être </w:t>
            </w:r>
            <w:r w:rsidRPr="00EE78C7">
              <w:rPr>
                <w:rFonts w:cstheme="minorHAnsi"/>
                <w:u w:val="single"/>
                <w:lang w:val="fr-FR"/>
              </w:rPr>
              <w:t>alloués</w:t>
            </w:r>
            <w:r w:rsidRPr="00BA2335">
              <w:rPr>
                <w:rFonts w:cstheme="minorHAnsi"/>
                <w:lang w:val="fr-FR"/>
              </w:rPr>
              <w:t xml:space="preserve"> aux investissements dans la transition verte.</w:t>
            </w:r>
          </w:p>
        </w:tc>
        <w:tc>
          <w:tcPr>
            <w:tcW w:w="4253" w:type="dxa"/>
          </w:tcPr>
          <w:p w14:paraId="27B791F0" w14:textId="29709007" w:rsidR="002868B3" w:rsidRPr="00DA76B5" w:rsidRDefault="002868B3" w:rsidP="0039184D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DA76B5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Apparition (f): </w:t>
            </w:r>
            <w:r w:rsidR="00BC4B67" w:rsidRPr="00DA76B5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U</w:t>
            </w:r>
            <w:r w:rsidR="00BC4B67" w:rsidRPr="00DA76B5">
              <w:rPr>
                <w:rStyle w:val="normaltextrun"/>
                <w:rFonts w:ascii="Calibri" w:hAnsi="Calibri" w:cs="Calibri"/>
                <w:i/>
                <w:iCs/>
                <w:sz w:val="18"/>
                <w:szCs w:val="18"/>
                <w:lang w:val="da-DK"/>
              </w:rPr>
              <w:t>dbrud (her)</w:t>
            </w:r>
          </w:p>
          <w:p w14:paraId="63DC7480" w14:textId="7495890C" w:rsidR="002868B3" w:rsidRPr="00DA76B5" w:rsidRDefault="002868B3" w:rsidP="0039184D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lang w:val="da-DK"/>
              </w:rPr>
            </w:pPr>
            <w:r w:rsidRPr="00DA76B5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À </w:t>
            </w:r>
            <w:proofErr w:type="spellStart"/>
            <w:proofErr w:type="gramStart"/>
            <w:r w:rsidRPr="00DA76B5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>venir</w:t>
            </w:r>
            <w:proofErr w:type="spellEnd"/>
            <w:r w:rsidRPr="00DA76B5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:</w:t>
            </w:r>
            <w:proofErr w:type="gramEnd"/>
            <w:r w:rsidRPr="00DA76B5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</w:t>
            </w:r>
            <w:r w:rsidRPr="00DA76B5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Kommende</w:t>
            </w:r>
            <w:r w:rsidRPr="00DA76B5">
              <w:rPr>
                <w:rStyle w:val="eop"/>
                <w:rFonts w:ascii="Calibri" w:hAnsi="Calibri" w:cs="Calibri"/>
                <w:color w:val="000000"/>
                <w:sz w:val="18"/>
                <w:szCs w:val="18"/>
                <w:lang w:val="da-DK"/>
              </w:rPr>
              <w:t> </w:t>
            </w:r>
          </w:p>
          <w:p w14:paraId="1B6E30B0" w14:textId="77777777" w:rsidR="002868B3" w:rsidRPr="003541B1" w:rsidRDefault="002868B3" w:rsidP="0039184D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lang w:val="da-DK"/>
              </w:rPr>
            </w:pPr>
            <w:r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À </w:t>
            </w:r>
            <w:proofErr w:type="spellStart"/>
            <w:r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>court</w:t>
            </w:r>
            <w:proofErr w:type="spellEnd"/>
            <w:r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</w:t>
            </w:r>
            <w:proofErr w:type="gramStart"/>
            <w:r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>terme :</w:t>
            </w:r>
            <w:proofErr w:type="gramEnd"/>
            <w:r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</w:t>
            </w:r>
            <w:r w:rsidRPr="003541B1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På kort sigt</w:t>
            </w:r>
            <w:r w:rsidRPr="003541B1">
              <w:rPr>
                <w:rStyle w:val="eop"/>
                <w:rFonts w:ascii="Calibri" w:hAnsi="Calibri" w:cs="Calibri"/>
                <w:color w:val="000000"/>
                <w:sz w:val="18"/>
                <w:szCs w:val="18"/>
                <w:lang w:val="da-DK"/>
              </w:rPr>
              <w:t> </w:t>
            </w:r>
          </w:p>
          <w:p w14:paraId="79EE95D6" w14:textId="294E2997" w:rsidR="002868B3" w:rsidRPr="003541B1" w:rsidRDefault="002868B3" w:rsidP="0039184D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lang w:val="da-DK"/>
              </w:rPr>
            </w:pPr>
            <w:proofErr w:type="spellStart"/>
            <w:r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>Dépendre</w:t>
            </w:r>
            <w:proofErr w:type="spellEnd"/>
            <w:r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>vb</w:t>
            </w:r>
            <w:proofErr w:type="spellEnd"/>
            <w:proofErr w:type="gramStart"/>
            <w:r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>) :</w:t>
            </w:r>
            <w:proofErr w:type="gramEnd"/>
            <w:r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</w:t>
            </w:r>
            <w:r w:rsidRPr="003541B1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At afhænge</w:t>
            </w:r>
            <w:r w:rsidRPr="003541B1">
              <w:rPr>
                <w:rStyle w:val="eop"/>
                <w:rFonts w:ascii="Calibri" w:hAnsi="Calibri" w:cs="Calibri"/>
                <w:color w:val="000000"/>
                <w:sz w:val="18"/>
                <w:szCs w:val="18"/>
                <w:lang w:val="da-DK"/>
              </w:rPr>
              <w:t> </w:t>
            </w:r>
            <w:r w:rsidR="00AE3E17">
              <w:rPr>
                <w:rStyle w:val="eop"/>
                <w:color w:val="000000"/>
                <w:lang w:val="da-DK"/>
              </w:rPr>
              <w:t>/</w:t>
            </w:r>
            <w:r w:rsidR="00AE3E17" w:rsidRPr="00AE3E17">
              <w:rPr>
                <w:rStyle w:val="eop"/>
                <w:color w:val="000000"/>
                <w:lang w:val="da-DK"/>
              </w:rPr>
              <w:t xml:space="preserve"> </w:t>
            </w:r>
            <w:proofErr w:type="spellStart"/>
            <w:r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>Gravité</w:t>
            </w:r>
            <w:proofErr w:type="spellEnd"/>
            <w:r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(f) : </w:t>
            </w:r>
            <w:r w:rsidRPr="003541B1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Alvor</w:t>
            </w:r>
            <w:r w:rsidRPr="003541B1">
              <w:rPr>
                <w:rStyle w:val="eop"/>
                <w:rFonts w:ascii="Calibri" w:hAnsi="Calibri" w:cs="Calibri"/>
                <w:color w:val="000000"/>
                <w:sz w:val="18"/>
                <w:szCs w:val="18"/>
                <w:lang w:val="da-DK"/>
              </w:rPr>
              <w:t> </w:t>
            </w:r>
          </w:p>
          <w:p w14:paraId="3CB86EE2" w14:textId="19D63246" w:rsidR="002868B3" w:rsidRPr="00CB1035" w:rsidRDefault="002868B3" w:rsidP="0039184D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Style w:val="normaltextrun"/>
                <w:lang w:val="da-DK"/>
              </w:rPr>
            </w:pPr>
            <w:proofErr w:type="spellStart"/>
            <w:r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>Ainsi</w:t>
            </w:r>
            <w:proofErr w:type="spellEnd"/>
            <w:r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>que</w:t>
            </w:r>
            <w:proofErr w:type="spellEnd"/>
            <w:r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>konj</w:t>
            </w:r>
            <w:proofErr w:type="spellEnd"/>
            <w:proofErr w:type="gramStart"/>
            <w:r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>) :</w:t>
            </w:r>
            <w:proofErr w:type="gramEnd"/>
            <w:r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</w:t>
            </w:r>
            <w:r w:rsidRPr="003541B1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Såvel som</w:t>
            </w:r>
            <w:r w:rsidRPr="003541B1">
              <w:rPr>
                <w:rStyle w:val="eop"/>
                <w:rFonts w:ascii="Calibri" w:hAnsi="Calibri" w:cs="Calibri"/>
                <w:color w:val="000000"/>
                <w:sz w:val="18"/>
                <w:szCs w:val="18"/>
                <w:lang w:val="da-DK"/>
              </w:rPr>
              <w:t> </w:t>
            </w:r>
            <w:r w:rsidR="00CB1035">
              <w:rPr>
                <w:rStyle w:val="eop"/>
                <w:color w:val="000000"/>
                <w:lang w:val="da-DK"/>
              </w:rPr>
              <w:t xml:space="preserve"> </w:t>
            </w:r>
            <w:r w:rsidR="00CB1035" w:rsidRPr="00CB1035">
              <w:rPr>
                <w:rStyle w:val="eop"/>
                <w:color w:val="000000"/>
                <w:lang w:val="da-DK"/>
              </w:rPr>
              <w:t xml:space="preserve">/ </w:t>
            </w:r>
            <w:proofErr w:type="spellStart"/>
            <w:r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>Mesure</w:t>
            </w:r>
            <w:proofErr w:type="spellEnd"/>
            <w:r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(f) : </w:t>
            </w:r>
            <w:r w:rsidRPr="003541B1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F</w:t>
            </w:r>
            <w:r w:rsidRPr="003541B1">
              <w:rPr>
                <w:rStyle w:val="normaltextrun"/>
                <w:rFonts w:ascii="Calibri" w:hAnsi="Calibri" w:cs="Calibri"/>
                <w:i/>
                <w:iCs/>
                <w:sz w:val="18"/>
                <w:szCs w:val="18"/>
                <w:lang w:val="da-DK"/>
              </w:rPr>
              <w:t>oranstaltning</w:t>
            </w:r>
          </w:p>
          <w:p w14:paraId="1E298413" w14:textId="77777777" w:rsidR="00CB1035" w:rsidRDefault="00CB1035" w:rsidP="0039184D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</w:pPr>
          </w:p>
          <w:p w14:paraId="4DE14772" w14:textId="49535D27" w:rsidR="002868B3" w:rsidRPr="003541B1" w:rsidRDefault="002868B3" w:rsidP="0039184D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lang w:val="da-DK"/>
              </w:rPr>
            </w:pPr>
            <w:proofErr w:type="spellStart"/>
            <w:r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>Résilience</w:t>
            </w:r>
            <w:proofErr w:type="spellEnd"/>
            <w:r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(f</w:t>
            </w:r>
            <w:proofErr w:type="gramStart"/>
            <w:r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>) :</w:t>
            </w:r>
            <w:proofErr w:type="gramEnd"/>
            <w:r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</w:t>
            </w:r>
            <w:r w:rsidRPr="003541B1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Modstandskraft</w:t>
            </w:r>
            <w:r w:rsidRPr="003541B1">
              <w:rPr>
                <w:rStyle w:val="eop"/>
                <w:rFonts w:ascii="Calibri" w:hAnsi="Calibri" w:cs="Calibri"/>
                <w:color w:val="000000"/>
                <w:sz w:val="18"/>
                <w:szCs w:val="18"/>
                <w:lang w:val="da-DK"/>
              </w:rPr>
              <w:t> </w:t>
            </w:r>
          </w:p>
          <w:p w14:paraId="337C2790" w14:textId="3554ED3A" w:rsidR="00DF2701" w:rsidRPr="003541B1" w:rsidRDefault="002868B3" w:rsidP="0039184D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>Adapter (</w:t>
            </w:r>
            <w:proofErr w:type="spellStart"/>
            <w:r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>vb</w:t>
            </w:r>
            <w:proofErr w:type="spellEnd"/>
            <w:proofErr w:type="gramStart"/>
            <w:r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>) :</w:t>
            </w:r>
            <w:proofErr w:type="gramEnd"/>
            <w:r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</w:t>
            </w:r>
            <w:r w:rsidRPr="003541B1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At tilpasse</w:t>
            </w:r>
            <w:r w:rsidR="00CB1035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 xml:space="preserve"> / </w:t>
            </w:r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Distorsion (f): </w:t>
            </w:r>
            <w:r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Forvridning</w:t>
            </w:r>
            <w:r w:rsidR="00CB103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 xml:space="preserve"> / </w:t>
            </w:r>
            <w:proofErr w:type="spellStart"/>
            <w:r w:rsidR="00B14E7A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Condition</w:t>
            </w:r>
            <w:proofErr w:type="spellEnd"/>
            <w:r w:rsidR="00B14E7A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de </w:t>
            </w:r>
            <w:proofErr w:type="spellStart"/>
            <w:r w:rsidR="00B14E7A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concurrence</w:t>
            </w:r>
            <w:proofErr w:type="spellEnd"/>
            <w:r w:rsidR="00B14E7A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</w:t>
            </w:r>
            <w:proofErr w:type="spellStart"/>
            <w:r w:rsidR="00B14E7A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équitable</w:t>
            </w:r>
            <w:proofErr w:type="spellEnd"/>
            <w:r w:rsidR="00B14E7A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(f) : </w:t>
            </w:r>
            <w:r w:rsidR="00B14E7A"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Lige konkurrencevilkår</w:t>
            </w:r>
            <w:r w:rsidR="00CB103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 xml:space="preserve"> / </w:t>
            </w:r>
            <w:proofErr w:type="spellStart"/>
            <w:r w:rsidR="00B14E7A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Marché</w:t>
            </w:r>
            <w:proofErr w:type="spellEnd"/>
            <w:r w:rsidR="00B14E7A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</w:t>
            </w:r>
            <w:proofErr w:type="spellStart"/>
            <w:r w:rsidR="00B14E7A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unique</w:t>
            </w:r>
            <w:proofErr w:type="spellEnd"/>
            <w:r w:rsidR="00B14E7A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(m) : </w:t>
            </w:r>
            <w:r w:rsidR="00B14E7A"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Indre marked</w:t>
            </w:r>
            <w:r w:rsidR="00CB103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 xml:space="preserve">/ </w:t>
            </w:r>
            <w:proofErr w:type="spellStart"/>
            <w:r w:rsidR="00B14E7A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Divergence</w:t>
            </w:r>
            <w:proofErr w:type="spellEnd"/>
            <w:r w:rsidR="00B14E7A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(f) : </w:t>
            </w:r>
            <w:r w:rsidR="00B14E7A"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Forskel</w:t>
            </w:r>
            <w:r w:rsidR="00CB103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 xml:space="preserve"> / </w:t>
            </w:r>
            <w:r w:rsidR="00B14E7A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Aggraver (</w:t>
            </w:r>
            <w:proofErr w:type="spellStart"/>
            <w:r w:rsidR="00B14E7A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vb</w:t>
            </w:r>
            <w:proofErr w:type="spellEnd"/>
            <w:r w:rsidR="00B14E7A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) : </w:t>
            </w:r>
            <w:r w:rsidR="00B14E7A"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At forværre</w:t>
            </w:r>
            <w:r w:rsidR="009F4EC7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 xml:space="preserve"> / </w:t>
            </w:r>
            <w:proofErr w:type="spellStart"/>
            <w:r w:rsidR="00B14E7A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Défi</w:t>
            </w:r>
            <w:proofErr w:type="spellEnd"/>
            <w:r w:rsidR="00B14E7A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de </w:t>
            </w:r>
            <w:proofErr w:type="spellStart"/>
            <w:r w:rsidR="00B14E7A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croissance</w:t>
            </w:r>
            <w:proofErr w:type="spellEnd"/>
            <w:r w:rsidR="00B14E7A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(m) : Vækstudfordringer</w:t>
            </w:r>
            <w:r w:rsidR="009F4EC7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/</w:t>
            </w:r>
            <w:r w:rsidR="000B0AFD">
              <w:rPr>
                <w:color w:val="000000"/>
                <w:lang w:val="da-DK"/>
              </w:rPr>
              <w:t xml:space="preserve"> </w:t>
            </w:r>
            <w:r w:rsidR="005760FC"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Reprise (f) : </w:t>
            </w:r>
            <w:r w:rsidR="005760FC" w:rsidRPr="003541B1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Et opsving</w:t>
            </w:r>
            <w:r w:rsidR="009F4EC7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 xml:space="preserve"> / </w:t>
            </w:r>
            <w:r w:rsidR="00DF2701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Se </w:t>
            </w:r>
            <w:proofErr w:type="spellStart"/>
            <w:r w:rsidR="00DF2701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mettre</w:t>
            </w:r>
            <w:proofErr w:type="spellEnd"/>
            <w:r w:rsidR="00DF2701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</w:t>
            </w:r>
            <w:proofErr w:type="spellStart"/>
            <w:r w:rsidR="00DF2701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d’accord</w:t>
            </w:r>
            <w:proofErr w:type="spellEnd"/>
            <w:r w:rsidR="00DF2701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sur (</w:t>
            </w:r>
            <w:proofErr w:type="spellStart"/>
            <w:r w:rsidR="00DF2701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vb</w:t>
            </w:r>
            <w:proofErr w:type="spellEnd"/>
            <w:r w:rsidR="00DF2701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) : </w:t>
            </w:r>
            <w:r w:rsidR="00DF2701"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At blive enige om</w:t>
            </w:r>
            <w:r w:rsidR="008B36C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 xml:space="preserve"> </w:t>
            </w:r>
            <w:proofErr w:type="spellStart"/>
            <w:r w:rsidR="00DF2701"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>Atténuer</w:t>
            </w:r>
            <w:proofErr w:type="spellEnd"/>
            <w:r w:rsidR="00DF2701"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</w:t>
            </w:r>
            <w:proofErr w:type="spellStart"/>
            <w:r w:rsidR="00DF2701"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>vb</w:t>
            </w:r>
            <w:proofErr w:type="spellEnd"/>
            <w:r w:rsidR="00DF2701" w:rsidRPr="003541B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) : </w:t>
            </w:r>
            <w:r w:rsidR="00DF2701" w:rsidRPr="003541B1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At afhjælpe</w:t>
            </w:r>
            <w:r w:rsidR="00DF2701" w:rsidRPr="003541B1">
              <w:rPr>
                <w:rStyle w:val="eop"/>
                <w:rFonts w:ascii="Calibri" w:hAnsi="Calibri" w:cs="Calibri"/>
                <w:color w:val="000000"/>
                <w:sz w:val="18"/>
                <w:szCs w:val="18"/>
                <w:lang w:val="da-DK"/>
              </w:rPr>
              <w:t> </w:t>
            </w:r>
            <w:r w:rsidR="008B36C3">
              <w:rPr>
                <w:rStyle w:val="eop"/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</w:t>
            </w:r>
            <w:r w:rsidR="008B36C3">
              <w:rPr>
                <w:rStyle w:val="eop"/>
                <w:color w:val="000000"/>
                <w:lang w:val="da-DK"/>
              </w:rPr>
              <w:t xml:space="preserve">/ </w:t>
            </w:r>
            <w:proofErr w:type="spellStart"/>
            <w:r w:rsidR="00DF2701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Résilience</w:t>
            </w:r>
            <w:proofErr w:type="spellEnd"/>
            <w:r w:rsidR="00DF2701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(f) : </w:t>
            </w:r>
            <w:r w:rsidR="00DF2701"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Modstandsdygtighed</w:t>
            </w:r>
          </w:p>
          <w:p w14:paraId="19B1B778" w14:textId="4564FADC" w:rsidR="00467FCA" w:rsidRPr="003541B1" w:rsidRDefault="00467FCA" w:rsidP="0039184D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</w:pP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Instruire</w:t>
            </w:r>
            <w:proofErr w:type="spell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vb</w:t>
            </w:r>
            <w:proofErr w:type="spellEnd"/>
            <w:proofErr w:type="gram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) :</w:t>
            </w:r>
            <w:proofErr w:type="gram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</w:t>
            </w:r>
            <w:r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At lære (her)</w:t>
            </w:r>
            <w:r w:rsidR="008B36C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 xml:space="preserve"> / </w:t>
            </w:r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Public (</w:t>
            </w: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adj</w:t>
            </w:r>
            <w:proofErr w:type="spell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) : </w:t>
            </w:r>
            <w:r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Offentlig</w:t>
            </w:r>
            <w:r w:rsidR="008B36C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 xml:space="preserve"> / </w:t>
            </w: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Considérablement</w:t>
            </w:r>
            <w:proofErr w:type="spell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adv</w:t>
            </w:r>
            <w:proofErr w:type="spell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) : </w:t>
            </w:r>
            <w:r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Betydeligt</w:t>
            </w:r>
            <w:r w:rsidR="008B36C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 xml:space="preserve"> / </w:t>
            </w: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Réduire</w:t>
            </w:r>
            <w:proofErr w:type="spell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vb</w:t>
            </w:r>
            <w:proofErr w:type="spell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) : </w:t>
            </w:r>
            <w:r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At reducere</w:t>
            </w:r>
            <w:r w:rsidR="008B36C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 xml:space="preserve"> / </w:t>
            </w: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Cependant</w:t>
            </w:r>
            <w:proofErr w:type="spell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adv</w:t>
            </w:r>
            <w:proofErr w:type="spell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) : </w:t>
            </w:r>
            <w:r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Dog</w:t>
            </w:r>
          </w:p>
          <w:p w14:paraId="7E864173" w14:textId="79AE1FF1" w:rsidR="001841AC" w:rsidRPr="003541B1" w:rsidRDefault="00467FCA" w:rsidP="0039184D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</w:pP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Soutenir</w:t>
            </w:r>
            <w:proofErr w:type="spell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vb</w:t>
            </w:r>
            <w:proofErr w:type="spellEnd"/>
            <w:proofErr w:type="gram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) :</w:t>
            </w:r>
            <w:proofErr w:type="gram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</w:t>
            </w:r>
            <w:r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At støtte</w:t>
            </w:r>
            <w:r w:rsidR="008B36C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 xml:space="preserve"> / </w:t>
            </w: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Relever</w:t>
            </w:r>
            <w:proofErr w:type="spell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vb</w:t>
            </w:r>
            <w:proofErr w:type="spell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) : </w:t>
            </w:r>
            <w:r w:rsidR="001841AC"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At genoprette</w:t>
            </w:r>
            <w:r w:rsidR="008B36C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 xml:space="preserve"> / </w:t>
            </w:r>
            <w:proofErr w:type="spellStart"/>
            <w:r w:rsidR="001841AC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Lié</w:t>
            </w:r>
            <w:proofErr w:type="spellEnd"/>
            <w:r w:rsidR="001841AC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à : </w:t>
            </w:r>
            <w:r w:rsidR="001841AC"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I forbindelse med</w:t>
            </w:r>
            <w:r w:rsidR="008B36C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 xml:space="preserve"> / </w:t>
            </w:r>
            <w:proofErr w:type="spellStart"/>
            <w:r w:rsidR="001841AC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Éviter</w:t>
            </w:r>
            <w:proofErr w:type="spellEnd"/>
            <w:r w:rsidR="001841AC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</w:t>
            </w:r>
            <w:proofErr w:type="spellStart"/>
            <w:r w:rsidR="001841AC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vb</w:t>
            </w:r>
            <w:proofErr w:type="spellEnd"/>
            <w:r w:rsidR="001841AC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) : </w:t>
            </w:r>
            <w:r w:rsidR="001841AC"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At undgå</w:t>
            </w:r>
            <w:r w:rsidR="003D157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 xml:space="preserve"> / </w:t>
            </w:r>
            <w:proofErr w:type="spellStart"/>
            <w:r w:rsidR="001841AC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Perte</w:t>
            </w:r>
            <w:proofErr w:type="spellEnd"/>
            <w:r w:rsidR="001841AC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(f) : </w:t>
            </w:r>
            <w:r w:rsidR="001841AC"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Tab</w:t>
            </w:r>
            <w:r w:rsidR="003D157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 xml:space="preserve"> / </w:t>
            </w:r>
            <w:r w:rsidR="001841AC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Reprise (f) : </w:t>
            </w:r>
            <w:r w:rsidR="001841AC"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Genoprettelse</w:t>
            </w:r>
            <w:r w:rsidR="003D157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 xml:space="preserve"> / </w:t>
            </w:r>
            <w:proofErr w:type="spellStart"/>
            <w:r w:rsidR="001841AC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Nécessiter</w:t>
            </w:r>
            <w:proofErr w:type="spellEnd"/>
            <w:r w:rsidR="001841AC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</w:t>
            </w:r>
            <w:proofErr w:type="spellStart"/>
            <w:r w:rsidR="001841AC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vb</w:t>
            </w:r>
            <w:proofErr w:type="spellEnd"/>
            <w:r w:rsidR="001841AC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) : </w:t>
            </w:r>
            <w:r w:rsidR="001841AC"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At kræve</w:t>
            </w:r>
          </w:p>
          <w:p w14:paraId="66375610" w14:textId="7A783790" w:rsidR="001841AC" w:rsidRPr="00BC4B67" w:rsidRDefault="001841AC" w:rsidP="0039184D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fr-FR"/>
              </w:rPr>
            </w:pPr>
            <w:r w:rsidRPr="00BC4B67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Adéquat (adj) : </w:t>
            </w:r>
            <w:r w:rsidRPr="00BC4B67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fr-FR"/>
              </w:rPr>
              <w:t>Passende</w:t>
            </w:r>
            <w:r w:rsidR="003D157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fr-FR"/>
              </w:rPr>
              <w:t xml:space="preserve"> / </w:t>
            </w:r>
            <w:r w:rsidRPr="00BC4B67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 xml:space="preserve">Mise en œuvre : </w:t>
            </w:r>
            <w:r w:rsidRPr="00BC4B67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fr-FR"/>
              </w:rPr>
              <w:t>Implementeret</w:t>
            </w:r>
          </w:p>
          <w:p w14:paraId="2E393AA8" w14:textId="19FBC7B8" w:rsidR="001841AC" w:rsidRPr="003541B1" w:rsidRDefault="001841AC" w:rsidP="0039184D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Transition </w:t>
            </w: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verte</w:t>
            </w:r>
            <w:proofErr w:type="spell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(f</w:t>
            </w:r>
            <w:proofErr w:type="gram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) :</w:t>
            </w:r>
            <w:proofErr w:type="gram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</w:t>
            </w:r>
            <w:r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Grøn omstilling</w:t>
            </w:r>
            <w:r w:rsidR="003D157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 xml:space="preserve"> / </w:t>
            </w: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Numérique</w:t>
            </w:r>
            <w:proofErr w:type="spell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adj</w:t>
            </w:r>
            <w:proofErr w:type="spell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) : </w:t>
            </w:r>
            <w:r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Digital</w:t>
            </w:r>
            <w:r w:rsidR="003D157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 xml:space="preserve"> / </w:t>
            </w: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Clé</w:t>
            </w:r>
            <w:proofErr w:type="spell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(f) : </w:t>
            </w:r>
            <w:r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Nøgle</w:t>
            </w:r>
          </w:p>
          <w:p w14:paraId="58FF02B7" w14:textId="77777777" w:rsidR="00467FCA" w:rsidRPr="003541B1" w:rsidRDefault="00467FCA" w:rsidP="0039184D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</w:pPr>
          </w:p>
          <w:p w14:paraId="34E9A643" w14:textId="77777777" w:rsidR="003D157B" w:rsidRDefault="003D157B" w:rsidP="0039184D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</w:pPr>
          </w:p>
          <w:p w14:paraId="3E2F5585" w14:textId="77777777" w:rsidR="003D157B" w:rsidRDefault="003D157B" w:rsidP="0039184D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</w:pPr>
          </w:p>
          <w:p w14:paraId="03628E8A" w14:textId="77777777" w:rsidR="003D157B" w:rsidRDefault="003D157B" w:rsidP="0039184D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</w:pPr>
          </w:p>
          <w:p w14:paraId="4613222A" w14:textId="77777777" w:rsidR="003D157B" w:rsidRDefault="003D157B" w:rsidP="0039184D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</w:pPr>
          </w:p>
          <w:p w14:paraId="1F281ABA" w14:textId="6522237D" w:rsidR="00DB07B8" w:rsidRPr="003D157B" w:rsidRDefault="00DB07B8" w:rsidP="0039184D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</w:pP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Domaine</w:t>
            </w:r>
            <w:proofErr w:type="spell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(m</w:t>
            </w:r>
            <w:proofErr w:type="gram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) :</w:t>
            </w:r>
            <w:proofErr w:type="gram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</w:t>
            </w:r>
            <w:r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Område</w:t>
            </w:r>
            <w:r w:rsidR="003D157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 xml:space="preserve"> / </w:t>
            </w: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Emploi</w:t>
            </w:r>
            <w:proofErr w:type="spell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(m) : </w:t>
            </w:r>
            <w:r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Arbejds-</w:t>
            </w:r>
          </w:p>
          <w:p w14:paraId="0DD6DED4" w14:textId="68635D48" w:rsidR="00DB07B8" w:rsidRPr="003541B1" w:rsidRDefault="00DB07B8" w:rsidP="0039184D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</w:pP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Santé</w:t>
            </w:r>
            <w:proofErr w:type="spell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(f</w:t>
            </w:r>
            <w:proofErr w:type="gram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) :</w:t>
            </w:r>
            <w:proofErr w:type="gram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</w:t>
            </w:r>
            <w:r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Sundheds-</w:t>
            </w:r>
            <w:r w:rsidR="003D157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 xml:space="preserve"> / </w:t>
            </w: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Recherche</w:t>
            </w:r>
            <w:proofErr w:type="spell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(f) : </w:t>
            </w:r>
            <w:r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Forsknings-</w:t>
            </w:r>
          </w:p>
          <w:p w14:paraId="01ED9660" w14:textId="77777777" w:rsidR="00DB07B8" w:rsidRPr="003541B1" w:rsidRDefault="00DB07B8" w:rsidP="0039184D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</w:pP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Également</w:t>
            </w:r>
            <w:proofErr w:type="spell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adv</w:t>
            </w:r>
            <w:proofErr w:type="spellEnd"/>
            <w:proofErr w:type="gram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) :</w:t>
            </w:r>
            <w:proofErr w:type="gram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</w:t>
            </w:r>
            <w:r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Desuden</w:t>
            </w:r>
          </w:p>
          <w:p w14:paraId="2F62425B" w14:textId="77777777" w:rsidR="003D157B" w:rsidRDefault="003D157B" w:rsidP="001F538C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</w:pPr>
          </w:p>
          <w:p w14:paraId="198A8715" w14:textId="67985853" w:rsidR="00DB07B8" w:rsidRPr="003541B1" w:rsidRDefault="00DB07B8" w:rsidP="001F538C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</w:pP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Créer</w:t>
            </w:r>
            <w:proofErr w:type="spell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vb</w:t>
            </w:r>
            <w:proofErr w:type="spellEnd"/>
            <w:proofErr w:type="gram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) :</w:t>
            </w:r>
            <w:proofErr w:type="gram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</w:t>
            </w:r>
            <w:r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At skabe</w:t>
            </w:r>
          </w:p>
          <w:p w14:paraId="56E20CB2" w14:textId="77777777" w:rsidR="00DB07B8" w:rsidRPr="003541B1" w:rsidRDefault="00DB07B8" w:rsidP="001F538C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</w:pPr>
          </w:p>
          <w:p w14:paraId="64CE3F80" w14:textId="77777777" w:rsidR="00DB07B8" w:rsidRPr="003541B1" w:rsidRDefault="00DB07B8" w:rsidP="001F538C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</w:pPr>
          </w:p>
          <w:p w14:paraId="32C29D89" w14:textId="4BA5B916" w:rsidR="00DB07B8" w:rsidRPr="003541B1" w:rsidRDefault="00EE78C7" w:rsidP="001F538C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</w:pP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Donc</w:t>
            </w:r>
            <w:proofErr w:type="spell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konj</w:t>
            </w:r>
            <w:proofErr w:type="spellEnd"/>
            <w:proofErr w:type="gram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) :</w:t>
            </w:r>
            <w:proofErr w:type="gram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</w:t>
            </w:r>
            <w:r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Derfor</w:t>
            </w:r>
          </w:p>
          <w:p w14:paraId="13BA52DE" w14:textId="77777777" w:rsidR="00DB07B8" w:rsidRPr="003541B1" w:rsidRDefault="00DB07B8" w:rsidP="001F538C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</w:pPr>
          </w:p>
          <w:p w14:paraId="1DD3B991" w14:textId="35E45172" w:rsidR="00EE78C7" w:rsidRPr="003541B1" w:rsidRDefault="00EE78C7" w:rsidP="001F538C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</w:pP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Montant</w:t>
            </w:r>
            <w:proofErr w:type="spell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(m</w:t>
            </w:r>
            <w:proofErr w:type="gram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) :</w:t>
            </w:r>
            <w:proofErr w:type="gram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</w:t>
            </w:r>
            <w:r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Beløb</w:t>
            </w:r>
            <w:r w:rsidR="00CF3D3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 xml:space="preserve"> / </w:t>
            </w: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Surmonter</w:t>
            </w:r>
            <w:proofErr w:type="spell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vb</w:t>
            </w:r>
            <w:proofErr w:type="spell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) : </w:t>
            </w:r>
            <w:r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At overvinde</w:t>
            </w:r>
          </w:p>
          <w:p w14:paraId="346A27D5" w14:textId="77777777" w:rsidR="00CF3D3F" w:rsidRDefault="00CF3D3F" w:rsidP="001F538C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</w:pPr>
          </w:p>
          <w:p w14:paraId="141EDD8D" w14:textId="1AB84833" w:rsidR="00EE78C7" w:rsidRPr="003541B1" w:rsidRDefault="00EE78C7" w:rsidP="001F538C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</w:pP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Émettre</w:t>
            </w:r>
            <w:proofErr w:type="spell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vb</w:t>
            </w:r>
            <w:proofErr w:type="spellEnd"/>
            <w:proofErr w:type="gram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) :</w:t>
            </w:r>
            <w:proofErr w:type="gram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</w:t>
            </w:r>
            <w:r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At udstede</w:t>
            </w:r>
            <w:r w:rsidR="001F538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 xml:space="preserve"> / </w:t>
            </w:r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Dette (f) : </w:t>
            </w:r>
            <w:r w:rsidR="004456B1"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Gæld</w:t>
            </w:r>
            <w:r w:rsidR="00CF3D3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 xml:space="preserve"> / </w:t>
            </w:r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Atteindre (</w:t>
            </w: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vb</w:t>
            </w:r>
            <w:proofErr w:type="spell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) : </w:t>
            </w:r>
            <w:r w:rsidR="004456B1"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At nå op på (her)</w:t>
            </w:r>
          </w:p>
          <w:p w14:paraId="38C3D4CF" w14:textId="6F6D78B1" w:rsidR="00EE78C7" w:rsidRPr="003541B1" w:rsidRDefault="00EE78C7" w:rsidP="001F538C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</w:pP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Demander</w:t>
            </w:r>
            <w:proofErr w:type="spell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vb</w:t>
            </w:r>
            <w:proofErr w:type="spellEnd"/>
            <w:proofErr w:type="gram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) :</w:t>
            </w:r>
            <w:proofErr w:type="gramEnd"/>
            <w:r w:rsidR="004456B1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</w:t>
            </w:r>
            <w:r w:rsidR="004456B1"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At ansøge</w:t>
            </w:r>
          </w:p>
          <w:p w14:paraId="30BFF04E" w14:textId="58B5A577" w:rsidR="004456B1" w:rsidRPr="004456B1" w:rsidRDefault="00EE78C7" w:rsidP="00AE3E17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</w:pP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Sous</w:t>
            </w:r>
            <w:proofErr w:type="spell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forme </w:t>
            </w:r>
            <w:proofErr w:type="gram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de :</w:t>
            </w:r>
            <w:proofErr w:type="gram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</w:t>
            </w:r>
            <w:r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I form af</w:t>
            </w:r>
            <w:r w:rsidR="001F538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 xml:space="preserve"> / </w:t>
            </w:r>
            <w:proofErr w:type="spellStart"/>
            <w:r w:rsidR="004456B1" w:rsidRPr="004456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Pr</w:t>
            </w:r>
            <w:r w:rsidR="004456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êt</w:t>
            </w:r>
            <w:proofErr w:type="spellEnd"/>
            <w:r w:rsidR="004456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(m) : </w:t>
            </w:r>
            <w:r w:rsidR="004456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Lån</w:t>
            </w:r>
          </w:p>
          <w:p w14:paraId="2DA8EA57" w14:textId="77777777" w:rsidR="00EE78C7" w:rsidRPr="004456B1" w:rsidRDefault="00EE78C7" w:rsidP="00AE3E17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456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Rembourser (</w:t>
            </w:r>
            <w:proofErr w:type="spellStart"/>
            <w:r w:rsidRPr="004456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vb</w:t>
            </w:r>
            <w:proofErr w:type="spellEnd"/>
            <w:proofErr w:type="gramStart"/>
            <w:r w:rsidRPr="004456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) :</w:t>
            </w:r>
            <w:proofErr w:type="gramEnd"/>
            <w:r w:rsidRPr="004456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</w:t>
            </w:r>
            <w:r w:rsidRPr="004456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At tilbagebetale</w:t>
            </w:r>
          </w:p>
          <w:p w14:paraId="5AEBCB32" w14:textId="77777777" w:rsidR="00CF3D3F" w:rsidRDefault="00CF3D3F" w:rsidP="00AE3E17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</w:pPr>
          </w:p>
          <w:p w14:paraId="66B57E2A" w14:textId="77777777" w:rsidR="005F7336" w:rsidRDefault="00EE78C7" w:rsidP="00AE3E17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Subvention (f</w:t>
            </w:r>
            <w:proofErr w:type="gram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) :</w:t>
            </w:r>
            <w:proofErr w:type="gramEnd"/>
            <w:r w:rsidR="004456B1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</w:t>
            </w:r>
            <w:r w:rsidR="004456B1"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Tilskud</w:t>
            </w:r>
            <w:r w:rsidR="005F733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 xml:space="preserve"> </w:t>
            </w:r>
          </w:p>
          <w:p w14:paraId="720AF612" w14:textId="77777777" w:rsidR="005F7336" w:rsidRDefault="005F7336" w:rsidP="00AE3E17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</w:pPr>
          </w:p>
          <w:p w14:paraId="117CBFE0" w14:textId="5BB60C83" w:rsidR="00EE78C7" w:rsidRPr="003541B1" w:rsidRDefault="00EE78C7" w:rsidP="00AE3E17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</w:pP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Allouer</w:t>
            </w:r>
            <w:proofErr w:type="spellEnd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vb</w:t>
            </w:r>
            <w:proofErr w:type="spellEnd"/>
            <w:proofErr w:type="gramStart"/>
            <w:r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>) :</w:t>
            </w:r>
            <w:proofErr w:type="gramEnd"/>
            <w:r w:rsidR="004456B1" w:rsidRPr="003541B1">
              <w:rPr>
                <w:rFonts w:ascii="Calibri" w:hAnsi="Calibri" w:cs="Calibri"/>
                <w:color w:val="000000"/>
                <w:sz w:val="18"/>
                <w:szCs w:val="18"/>
                <w:lang w:val="da-DK"/>
              </w:rPr>
              <w:t xml:space="preserve"> </w:t>
            </w:r>
            <w:r w:rsidR="004456B1" w:rsidRPr="003541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da-DK"/>
              </w:rPr>
              <w:t>At afsætte</w:t>
            </w:r>
          </w:p>
        </w:tc>
      </w:tr>
    </w:tbl>
    <w:p w14:paraId="0738B5F6" w14:textId="36110770" w:rsidR="00AA71B5" w:rsidRDefault="00CB4646" w:rsidP="005760FC">
      <w:pPr>
        <w:spacing w:after="0"/>
        <w:rPr>
          <w:rFonts w:cstheme="minorHAnsi"/>
          <w:b/>
          <w:bCs/>
          <w:sz w:val="28"/>
          <w:szCs w:val="28"/>
          <w:lang w:val="en-GB"/>
        </w:rPr>
      </w:pPr>
      <w:r>
        <w:rPr>
          <w:rFonts w:cstheme="minorHAnsi"/>
          <w:b/>
          <w:bCs/>
          <w:sz w:val="28"/>
          <w:szCs w:val="28"/>
          <w:lang w:val="en-GB"/>
        </w:rPr>
        <w:lastRenderedPageBreak/>
        <w:t xml:space="preserve">Les amendments de </w:t>
      </w:r>
      <w:proofErr w:type="spellStart"/>
      <w:r>
        <w:rPr>
          <w:rFonts w:cstheme="minorHAnsi"/>
          <w:b/>
          <w:bCs/>
          <w:sz w:val="28"/>
          <w:szCs w:val="28"/>
          <w:lang w:val="en-GB"/>
        </w:rPr>
        <w:t>loi</w:t>
      </w:r>
      <w:proofErr w:type="spellEnd"/>
    </w:p>
    <w:p w14:paraId="36B8B1DC" w14:textId="77777777" w:rsidR="007F5FD4" w:rsidRPr="007F5FD4" w:rsidRDefault="007F5FD4" w:rsidP="005760FC">
      <w:pPr>
        <w:spacing w:after="0"/>
        <w:rPr>
          <w:rFonts w:cstheme="minorHAnsi"/>
          <w:b/>
          <w:bCs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9"/>
        <w:gridCol w:w="6300"/>
        <w:gridCol w:w="2829"/>
      </w:tblGrid>
      <w:tr w:rsidR="004456B1" w:rsidRPr="00463C7E" w14:paraId="422AE3D9" w14:textId="553F4659" w:rsidTr="000A073E">
        <w:tc>
          <w:tcPr>
            <w:tcW w:w="499" w:type="dxa"/>
          </w:tcPr>
          <w:p w14:paraId="4BA9758A" w14:textId="3F0DAA99" w:rsidR="004456B1" w:rsidRPr="00A12412" w:rsidRDefault="004456B1" w:rsidP="0065207F">
            <w:pPr>
              <w:spacing w:line="240" w:lineRule="exact"/>
              <w:jc w:val="center"/>
              <w:rPr>
                <w:rFonts w:cstheme="minorHAnsi"/>
                <w:lang w:val="en-GB"/>
              </w:rPr>
            </w:pPr>
            <w:r w:rsidRPr="00A12412">
              <w:rPr>
                <w:rFonts w:cstheme="minorHAnsi"/>
                <w:lang w:val="en-GB"/>
              </w:rPr>
              <w:t>1</w:t>
            </w:r>
          </w:p>
        </w:tc>
        <w:tc>
          <w:tcPr>
            <w:tcW w:w="6300" w:type="dxa"/>
          </w:tcPr>
          <w:p w14:paraId="4348556C" w14:textId="0CD8CEF7" w:rsidR="004456B1" w:rsidRPr="007D595E" w:rsidRDefault="004456B1" w:rsidP="0065207F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  <w:r w:rsidRPr="007D595E">
              <w:rPr>
                <w:rFonts w:cstheme="minorHAnsi"/>
                <w:lang w:val="fr-FR"/>
              </w:rPr>
              <w:t xml:space="preserve">75% des prêts (600 </w:t>
            </w:r>
            <w:r>
              <w:rPr>
                <w:rFonts w:cstheme="minorHAnsi"/>
                <w:lang w:val="fr-FR"/>
              </w:rPr>
              <w:t>milliards</w:t>
            </w:r>
            <w:r w:rsidRPr="007D595E">
              <w:rPr>
                <w:rFonts w:cstheme="minorHAnsi"/>
                <w:lang w:val="fr-FR"/>
              </w:rPr>
              <w:t xml:space="preserve"> d'euros)</w:t>
            </w:r>
          </w:p>
          <w:p w14:paraId="3F0F1F27" w14:textId="0C186F52" w:rsidR="004456B1" w:rsidRPr="006F74F7" w:rsidRDefault="004456B1" w:rsidP="0065207F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  <w:r w:rsidRPr="007D595E">
              <w:rPr>
                <w:rFonts w:cstheme="minorHAnsi"/>
                <w:lang w:val="fr-FR"/>
              </w:rPr>
              <w:t xml:space="preserve">25% des subventions (200 </w:t>
            </w:r>
            <w:r>
              <w:rPr>
                <w:rFonts w:cstheme="minorHAnsi"/>
                <w:lang w:val="fr-FR"/>
              </w:rPr>
              <w:t xml:space="preserve">milliards </w:t>
            </w:r>
            <w:r w:rsidRPr="007D595E">
              <w:rPr>
                <w:rFonts w:cstheme="minorHAnsi"/>
                <w:lang w:val="fr-FR"/>
              </w:rPr>
              <w:t>d'euros)</w:t>
            </w:r>
          </w:p>
        </w:tc>
        <w:tc>
          <w:tcPr>
            <w:tcW w:w="2829" w:type="dxa"/>
            <w:vMerge w:val="restart"/>
          </w:tcPr>
          <w:p w14:paraId="626FBF18" w14:textId="77777777" w:rsidR="004456B1" w:rsidRDefault="004456B1" w:rsidP="0065207F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</w:p>
          <w:p w14:paraId="2BFB5E4B" w14:textId="77777777" w:rsidR="004456B1" w:rsidRDefault="004456B1" w:rsidP="0065207F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</w:p>
          <w:p w14:paraId="454DC30B" w14:textId="77777777" w:rsidR="004456B1" w:rsidRDefault="004456B1" w:rsidP="0065207F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</w:p>
          <w:p w14:paraId="663362B5" w14:textId="77777777" w:rsidR="004456B1" w:rsidRDefault="004456B1" w:rsidP="0065207F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</w:p>
          <w:p w14:paraId="33ACFBC1" w14:textId="77777777" w:rsidR="004456B1" w:rsidRDefault="004456B1" w:rsidP="0065207F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</w:p>
          <w:p w14:paraId="3726E40F" w14:textId="77777777" w:rsidR="004456B1" w:rsidRDefault="004456B1" w:rsidP="0065207F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</w:p>
          <w:p w14:paraId="4B6695BB" w14:textId="77777777" w:rsidR="004456B1" w:rsidRDefault="004456B1" w:rsidP="0065207F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</w:p>
          <w:p w14:paraId="2333CE6A" w14:textId="77777777" w:rsidR="004456B1" w:rsidRDefault="004456B1" w:rsidP="0065207F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</w:p>
          <w:p w14:paraId="7B03CB66" w14:textId="65470B61" w:rsidR="00463C7E" w:rsidRPr="003541B1" w:rsidRDefault="004456B1" w:rsidP="0065207F">
            <w:pPr>
              <w:spacing w:line="240" w:lineRule="exact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proofErr w:type="spellStart"/>
            <w:r w:rsidRPr="003541B1">
              <w:rPr>
                <w:rFonts w:cstheme="minorHAnsi"/>
                <w:sz w:val="18"/>
                <w:szCs w:val="18"/>
              </w:rPr>
              <w:t>Utiliser</w:t>
            </w:r>
            <w:proofErr w:type="spellEnd"/>
            <w:r w:rsidRPr="003541B1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3541B1">
              <w:rPr>
                <w:rFonts w:cstheme="minorHAnsi"/>
                <w:sz w:val="18"/>
                <w:szCs w:val="18"/>
              </w:rPr>
              <w:t>vb</w:t>
            </w:r>
            <w:proofErr w:type="spellEnd"/>
            <w:proofErr w:type="gramStart"/>
            <w:r w:rsidRPr="003541B1">
              <w:rPr>
                <w:rFonts w:cstheme="minorHAnsi"/>
                <w:sz w:val="18"/>
                <w:szCs w:val="18"/>
              </w:rPr>
              <w:t>) :</w:t>
            </w:r>
            <w:proofErr w:type="gramEnd"/>
            <w:r w:rsidRPr="003541B1">
              <w:rPr>
                <w:rFonts w:cstheme="minorHAnsi"/>
                <w:sz w:val="18"/>
                <w:szCs w:val="18"/>
              </w:rPr>
              <w:t xml:space="preserve"> </w:t>
            </w:r>
            <w:r w:rsidRPr="003541B1">
              <w:rPr>
                <w:rFonts w:cstheme="minorHAnsi"/>
                <w:i/>
                <w:iCs/>
                <w:sz w:val="18"/>
                <w:szCs w:val="18"/>
              </w:rPr>
              <w:t>At bruge</w:t>
            </w:r>
            <w:r w:rsidR="0065207F">
              <w:rPr>
                <w:rFonts w:cstheme="minorHAnsi"/>
                <w:i/>
                <w:iCs/>
                <w:sz w:val="18"/>
                <w:szCs w:val="18"/>
              </w:rPr>
              <w:t xml:space="preserve"> / </w:t>
            </w:r>
            <w:proofErr w:type="spellStart"/>
            <w:r w:rsidRPr="003541B1">
              <w:rPr>
                <w:rFonts w:cstheme="minorHAnsi"/>
                <w:sz w:val="18"/>
                <w:szCs w:val="18"/>
              </w:rPr>
              <w:t>Argent</w:t>
            </w:r>
            <w:proofErr w:type="spellEnd"/>
            <w:r w:rsidRPr="003541B1">
              <w:rPr>
                <w:rFonts w:cstheme="minorHAnsi"/>
                <w:sz w:val="18"/>
                <w:szCs w:val="18"/>
              </w:rPr>
              <w:t xml:space="preserve"> (m) : </w:t>
            </w:r>
            <w:r w:rsidRPr="003541B1">
              <w:rPr>
                <w:rFonts w:cstheme="minorHAnsi"/>
                <w:i/>
                <w:iCs/>
                <w:sz w:val="18"/>
                <w:szCs w:val="18"/>
              </w:rPr>
              <w:t>Penge</w:t>
            </w:r>
            <w:r w:rsidR="0065207F">
              <w:rPr>
                <w:rFonts w:cstheme="minorHAnsi"/>
                <w:i/>
                <w:iCs/>
                <w:sz w:val="18"/>
                <w:szCs w:val="18"/>
              </w:rPr>
              <w:t xml:space="preserve"> / </w:t>
            </w:r>
            <w:proofErr w:type="spellStart"/>
            <w:r w:rsidR="00463C7E" w:rsidRPr="003541B1">
              <w:rPr>
                <w:rFonts w:cstheme="minorHAnsi"/>
                <w:sz w:val="18"/>
                <w:szCs w:val="18"/>
              </w:rPr>
              <w:t>Quoi</w:t>
            </w:r>
            <w:proofErr w:type="spellEnd"/>
            <w:r w:rsidR="00463C7E" w:rsidRPr="003541B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463C7E" w:rsidRPr="003541B1">
              <w:rPr>
                <w:rFonts w:cstheme="minorHAnsi"/>
                <w:sz w:val="18"/>
                <w:szCs w:val="18"/>
              </w:rPr>
              <w:t>que</w:t>
            </w:r>
            <w:proofErr w:type="spellEnd"/>
            <w:r w:rsidR="00463C7E" w:rsidRPr="003541B1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463C7E" w:rsidRPr="003541B1">
              <w:rPr>
                <w:rFonts w:cstheme="minorHAnsi"/>
                <w:sz w:val="18"/>
                <w:szCs w:val="18"/>
              </w:rPr>
              <w:t>konj</w:t>
            </w:r>
            <w:proofErr w:type="spellEnd"/>
            <w:r w:rsidR="00463C7E" w:rsidRPr="003541B1">
              <w:rPr>
                <w:rFonts w:cstheme="minorHAnsi"/>
                <w:sz w:val="18"/>
                <w:szCs w:val="18"/>
              </w:rPr>
              <w:t xml:space="preserve">) : </w:t>
            </w:r>
            <w:r w:rsidR="00463C7E" w:rsidRPr="003541B1">
              <w:rPr>
                <w:rFonts w:cstheme="minorHAnsi"/>
                <w:i/>
                <w:iCs/>
                <w:sz w:val="18"/>
                <w:szCs w:val="18"/>
              </w:rPr>
              <w:t>Uanset om</w:t>
            </w:r>
          </w:p>
          <w:p w14:paraId="6D5661A8" w14:textId="1F6541E3" w:rsidR="00463C7E" w:rsidRPr="0065207F" w:rsidRDefault="00463C7E" w:rsidP="0065207F">
            <w:pPr>
              <w:spacing w:line="240" w:lineRule="exact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proofErr w:type="spellStart"/>
            <w:r w:rsidRPr="00463C7E">
              <w:rPr>
                <w:rFonts w:cstheme="minorHAnsi"/>
                <w:sz w:val="18"/>
                <w:szCs w:val="18"/>
              </w:rPr>
              <w:t>Être</w:t>
            </w:r>
            <w:proofErr w:type="spellEnd"/>
            <w:r w:rsidRPr="00463C7E">
              <w:rPr>
                <w:rFonts w:cstheme="minorHAnsi"/>
                <w:sz w:val="18"/>
                <w:szCs w:val="18"/>
              </w:rPr>
              <w:t xml:space="preserve"> en </w:t>
            </w:r>
            <w:proofErr w:type="spellStart"/>
            <w:r w:rsidRPr="00463C7E">
              <w:rPr>
                <w:rFonts w:cstheme="minorHAnsi"/>
                <w:sz w:val="18"/>
                <w:szCs w:val="18"/>
              </w:rPr>
              <w:t>mesure</w:t>
            </w:r>
            <w:proofErr w:type="spellEnd"/>
            <w:r w:rsidRPr="00463C7E">
              <w:rPr>
                <w:rFonts w:cstheme="minorHAnsi"/>
                <w:sz w:val="18"/>
                <w:szCs w:val="18"/>
              </w:rPr>
              <w:t xml:space="preserve"> de (</w:t>
            </w:r>
            <w:proofErr w:type="spellStart"/>
            <w:r w:rsidRPr="00463C7E">
              <w:rPr>
                <w:rFonts w:cstheme="minorHAnsi"/>
                <w:sz w:val="18"/>
                <w:szCs w:val="18"/>
              </w:rPr>
              <w:t>vb</w:t>
            </w:r>
            <w:proofErr w:type="spellEnd"/>
            <w:proofErr w:type="gramStart"/>
            <w:r w:rsidRPr="00463C7E">
              <w:rPr>
                <w:rFonts w:cstheme="minorHAnsi"/>
                <w:sz w:val="18"/>
                <w:szCs w:val="18"/>
              </w:rPr>
              <w:t>) :</w:t>
            </w:r>
            <w:proofErr w:type="gramEnd"/>
            <w:r w:rsidRPr="00463C7E">
              <w:rPr>
                <w:rFonts w:cstheme="minorHAnsi"/>
                <w:sz w:val="18"/>
                <w:szCs w:val="18"/>
              </w:rPr>
              <w:t xml:space="preserve"> </w:t>
            </w:r>
            <w:r w:rsidRPr="00463C7E">
              <w:rPr>
                <w:rFonts w:cstheme="minorHAnsi"/>
                <w:i/>
                <w:iCs/>
                <w:sz w:val="18"/>
                <w:szCs w:val="18"/>
              </w:rPr>
              <w:t>At være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i stand stil</w:t>
            </w:r>
            <w:r w:rsidR="0065207F">
              <w:rPr>
                <w:rFonts w:cstheme="minorHAnsi"/>
                <w:i/>
                <w:iCs/>
                <w:sz w:val="18"/>
                <w:szCs w:val="18"/>
              </w:rPr>
              <w:t xml:space="preserve"> / </w:t>
            </w:r>
            <w:r>
              <w:rPr>
                <w:rFonts w:cstheme="minorHAnsi"/>
                <w:sz w:val="18"/>
                <w:szCs w:val="18"/>
              </w:rPr>
              <w:t>Montrer (</w:t>
            </w:r>
            <w:proofErr w:type="spellStart"/>
            <w:r>
              <w:rPr>
                <w:rFonts w:cstheme="minorHAnsi"/>
                <w:sz w:val="18"/>
                <w:szCs w:val="18"/>
              </w:rPr>
              <w:t>vb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) :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At vise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DAD57E6" w14:textId="4158C1EF" w:rsidR="00463C7E" w:rsidRDefault="00463C7E" w:rsidP="0065207F">
            <w:pPr>
              <w:spacing w:line="240" w:lineRule="exact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Traité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(m</w:t>
            </w:r>
            <w:proofErr w:type="gramStart"/>
            <w:r>
              <w:rPr>
                <w:rFonts w:cstheme="minorHAnsi"/>
                <w:sz w:val="18"/>
                <w:szCs w:val="18"/>
              </w:rPr>
              <w:t>) :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Traktat</w:t>
            </w:r>
            <w:r w:rsidR="0065207F">
              <w:rPr>
                <w:rFonts w:cstheme="minorHAnsi"/>
                <w:i/>
                <w:iCs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cstheme="minorHAnsi"/>
                <w:sz w:val="18"/>
                <w:szCs w:val="18"/>
              </w:rPr>
              <w:t>Recevoir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sz w:val="18"/>
                <w:szCs w:val="18"/>
              </w:rPr>
              <w:t>vb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) :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At modtage</w:t>
            </w:r>
            <w:r w:rsidR="0065207F">
              <w:rPr>
                <w:rFonts w:cstheme="minorHAnsi"/>
                <w:i/>
                <w:iCs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cstheme="minorHAnsi"/>
                <w:sz w:val="18"/>
                <w:szCs w:val="18"/>
              </w:rPr>
              <w:t>Convention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collectif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(f) : </w:t>
            </w:r>
            <w:r w:rsidRPr="00463C7E">
              <w:rPr>
                <w:rFonts w:cstheme="minorHAnsi"/>
                <w:i/>
                <w:iCs/>
                <w:sz w:val="18"/>
                <w:szCs w:val="18"/>
              </w:rPr>
              <w:t>Overenskomst</w:t>
            </w:r>
          </w:p>
          <w:p w14:paraId="07EC4591" w14:textId="77777777" w:rsidR="0065207F" w:rsidRDefault="0065207F" w:rsidP="0065207F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695A69E7" w14:textId="0514BEE7" w:rsidR="00463C7E" w:rsidRPr="00463C7E" w:rsidRDefault="00463C7E" w:rsidP="0065207F">
            <w:pPr>
              <w:spacing w:line="240" w:lineRule="exact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Volonté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(f</w:t>
            </w:r>
            <w:proofErr w:type="gramStart"/>
            <w:r>
              <w:rPr>
                <w:rFonts w:cstheme="minorHAnsi"/>
                <w:sz w:val="18"/>
                <w:szCs w:val="18"/>
              </w:rPr>
              <w:t>) :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Velvillighed</w:t>
            </w:r>
          </w:p>
          <w:p w14:paraId="777ABA31" w14:textId="71C0C8E3" w:rsidR="00463C7E" w:rsidRPr="00463C7E" w:rsidRDefault="00463C7E" w:rsidP="0065207F">
            <w:pPr>
              <w:spacing w:line="240" w:lineRule="exact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Par </w:t>
            </w:r>
            <w:proofErr w:type="gramStart"/>
            <w:r>
              <w:rPr>
                <w:rFonts w:cstheme="minorHAnsi"/>
                <w:sz w:val="18"/>
                <w:szCs w:val="18"/>
              </w:rPr>
              <w:t>rapport :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I forhold til</w:t>
            </w:r>
          </w:p>
        </w:tc>
      </w:tr>
      <w:tr w:rsidR="004456B1" w:rsidRPr="00DA76B5" w14:paraId="45CFD635" w14:textId="3A45DF4A" w:rsidTr="000A073E">
        <w:tc>
          <w:tcPr>
            <w:tcW w:w="499" w:type="dxa"/>
          </w:tcPr>
          <w:p w14:paraId="0273DD05" w14:textId="0A567771" w:rsidR="004456B1" w:rsidRPr="00A12412" w:rsidRDefault="004456B1" w:rsidP="0065207F">
            <w:pPr>
              <w:spacing w:line="240" w:lineRule="exact"/>
              <w:jc w:val="center"/>
              <w:rPr>
                <w:rFonts w:cstheme="minorHAnsi"/>
                <w:lang w:val="en-GB"/>
              </w:rPr>
            </w:pPr>
            <w:r w:rsidRPr="00A12412">
              <w:rPr>
                <w:rFonts w:cstheme="minorHAnsi"/>
                <w:lang w:val="en-GB"/>
              </w:rPr>
              <w:t>2</w:t>
            </w:r>
          </w:p>
        </w:tc>
        <w:tc>
          <w:tcPr>
            <w:tcW w:w="6300" w:type="dxa"/>
          </w:tcPr>
          <w:p w14:paraId="08A5FDAB" w14:textId="0589093D" w:rsidR="004456B1" w:rsidRPr="00896F71" w:rsidRDefault="004456B1" w:rsidP="0065207F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  <w:r w:rsidRPr="00896F71">
              <w:rPr>
                <w:rFonts w:cstheme="minorHAnsi"/>
                <w:lang w:val="fr-FR"/>
              </w:rPr>
              <w:t>25% des prêts (200</w:t>
            </w:r>
            <w:r>
              <w:rPr>
                <w:rFonts w:cstheme="minorHAnsi"/>
                <w:lang w:val="fr-FR"/>
              </w:rPr>
              <w:t xml:space="preserve"> milliards</w:t>
            </w:r>
            <w:r w:rsidRPr="00896F71">
              <w:rPr>
                <w:rFonts w:cstheme="minorHAnsi"/>
                <w:lang w:val="fr-FR"/>
              </w:rPr>
              <w:t xml:space="preserve"> d'euros)</w:t>
            </w:r>
          </w:p>
          <w:p w14:paraId="31F2AC7C" w14:textId="09F01B22" w:rsidR="004456B1" w:rsidRPr="00CA2C5C" w:rsidRDefault="004456B1" w:rsidP="0065207F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  <w:r w:rsidRPr="00896F71">
              <w:rPr>
                <w:rFonts w:cstheme="minorHAnsi"/>
                <w:lang w:val="fr-FR"/>
              </w:rPr>
              <w:t xml:space="preserve">75% des subventions (600 </w:t>
            </w:r>
            <w:r>
              <w:rPr>
                <w:rFonts w:cstheme="minorHAnsi"/>
                <w:lang w:val="fr-FR"/>
              </w:rPr>
              <w:t>milliards</w:t>
            </w:r>
            <w:r w:rsidRPr="00896F71">
              <w:rPr>
                <w:rFonts w:cstheme="minorHAnsi"/>
                <w:lang w:val="fr-FR"/>
              </w:rPr>
              <w:t xml:space="preserve"> d'euros)</w:t>
            </w:r>
          </w:p>
        </w:tc>
        <w:tc>
          <w:tcPr>
            <w:tcW w:w="2829" w:type="dxa"/>
            <w:vMerge/>
          </w:tcPr>
          <w:p w14:paraId="2593EC88" w14:textId="4A2FEBCD" w:rsidR="004456B1" w:rsidRPr="00896F71" w:rsidRDefault="004456B1" w:rsidP="005760FC">
            <w:pPr>
              <w:rPr>
                <w:rFonts w:cstheme="minorHAnsi"/>
                <w:lang w:val="fr-FR"/>
              </w:rPr>
            </w:pPr>
          </w:p>
        </w:tc>
      </w:tr>
      <w:tr w:rsidR="004456B1" w:rsidRPr="00DA76B5" w14:paraId="1001AE82" w14:textId="36E5DE4C" w:rsidTr="000A073E">
        <w:tc>
          <w:tcPr>
            <w:tcW w:w="499" w:type="dxa"/>
          </w:tcPr>
          <w:p w14:paraId="515992D5" w14:textId="3230E4F2" w:rsidR="004456B1" w:rsidRPr="00A12412" w:rsidRDefault="004456B1" w:rsidP="0065207F">
            <w:pPr>
              <w:spacing w:line="240" w:lineRule="exact"/>
              <w:jc w:val="center"/>
              <w:rPr>
                <w:rFonts w:cstheme="minorHAnsi"/>
                <w:lang w:val="en-GB"/>
              </w:rPr>
            </w:pPr>
            <w:r w:rsidRPr="00A12412">
              <w:rPr>
                <w:rFonts w:cstheme="minorHAnsi"/>
                <w:lang w:val="en-GB"/>
              </w:rPr>
              <w:t>3</w:t>
            </w:r>
          </w:p>
        </w:tc>
        <w:tc>
          <w:tcPr>
            <w:tcW w:w="6300" w:type="dxa"/>
          </w:tcPr>
          <w:p w14:paraId="7462DE93" w14:textId="211BB20D" w:rsidR="004456B1" w:rsidRPr="00F73C07" w:rsidRDefault="004456B1" w:rsidP="0065207F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  <w:r w:rsidRPr="00315AA2">
              <w:rPr>
                <w:rFonts w:cstheme="minorHAnsi"/>
                <w:lang w:val="fr-FR"/>
              </w:rPr>
              <w:t>15% de l’argent du FRR doivent être alloués aux investissements dans la transition verte.</w:t>
            </w:r>
          </w:p>
        </w:tc>
        <w:tc>
          <w:tcPr>
            <w:tcW w:w="2829" w:type="dxa"/>
            <w:vMerge/>
          </w:tcPr>
          <w:p w14:paraId="2B8DC8A0" w14:textId="47CCCE70" w:rsidR="004456B1" w:rsidRPr="00315AA2" w:rsidRDefault="004456B1" w:rsidP="005760FC">
            <w:pPr>
              <w:rPr>
                <w:rFonts w:cstheme="minorHAnsi"/>
                <w:lang w:val="fr-FR"/>
              </w:rPr>
            </w:pPr>
          </w:p>
        </w:tc>
      </w:tr>
      <w:tr w:rsidR="004456B1" w:rsidRPr="00DA76B5" w14:paraId="11E73193" w14:textId="795672BF" w:rsidTr="000A073E">
        <w:tc>
          <w:tcPr>
            <w:tcW w:w="499" w:type="dxa"/>
          </w:tcPr>
          <w:p w14:paraId="1D36E53F" w14:textId="6D659690" w:rsidR="004456B1" w:rsidRPr="00A12412" w:rsidRDefault="004456B1" w:rsidP="0065207F">
            <w:pPr>
              <w:spacing w:line="240" w:lineRule="exact"/>
              <w:jc w:val="center"/>
              <w:rPr>
                <w:rFonts w:cstheme="minorHAnsi"/>
                <w:lang w:val="en-GB"/>
              </w:rPr>
            </w:pPr>
            <w:r w:rsidRPr="00A12412">
              <w:rPr>
                <w:rFonts w:cstheme="minorHAnsi"/>
                <w:lang w:val="en-GB"/>
              </w:rPr>
              <w:t>4</w:t>
            </w:r>
          </w:p>
        </w:tc>
        <w:tc>
          <w:tcPr>
            <w:tcW w:w="6300" w:type="dxa"/>
          </w:tcPr>
          <w:p w14:paraId="5E0571AF" w14:textId="3E8A67A7" w:rsidR="004456B1" w:rsidRPr="00F71FE0" w:rsidRDefault="004456B1" w:rsidP="0065207F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  <w:r w:rsidRPr="00D3274D">
              <w:rPr>
                <w:rFonts w:cstheme="minorHAnsi"/>
                <w:lang w:val="fr-FR"/>
              </w:rPr>
              <w:t>45% de l’argent du FRR doit être alloué aux investissements dans la transition verte.</w:t>
            </w:r>
          </w:p>
        </w:tc>
        <w:tc>
          <w:tcPr>
            <w:tcW w:w="2829" w:type="dxa"/>
            <w:vMerge/>
          </w:tcPr>
          <w:p w14:paraId="047CF450" w14:textId="64FE8559" w:rsidR="004456B1" w:rsidRPr="00D3274D" w:rsidRDefault="004456B1" w:rsidP="005760FC">
            <w:pPr>
              <w:rPr>
                <w:rFonts w:cstheme="minorHAnsi"/>
                <w:lang w:val="fr-FR"/>
              </w:rPr>
            </w:pPr>
          </w:p>
        </w:tc>
      </w:tr>
      <w:tr w:rsidR="004456B1" w:rsidRPr="00DA76B5" w14:paraId="6671E3F3" w14:textId="48B55C55" w:rsidTr="000A073E">
        <w:tc>
          <w:tcPr>
            <w:tcW w:w="499" w:type="dxa"/>
          </w:tcPr>
          <w:p w14:paraId="2B906381" w14:textId="5C36D28D" w:rsidR="004456B1" w:rsidRPr="00A12412" w:rsidRDefault="004456B1" w:rsidP="0065207F">
            <w:pPr>
              <w:spacing w:line="240" w:lineRule="exact"/>
              <w:jc w:val="center"/>
              <w:rPr>
                <w:rFonts w:cstheme="minorHAnsi"/>
                <w:lang w:val="en-GB"/>
              </w:rPr>
            </w:pPr>
            <w:r w:rsidRPr="00A12412">
              <w:rPr>
                <w:rFonts w:cstheme="minorHAnsi"/>
                <w:lang w:val="en-GB"/>
              </w:rPr>
              <w:t>5</w:t>
            </w:r>
          </w:p>
        </w:tc>
        <w:tc>
          <w:tcPr>
            <w:tcW w:w="6300" w:type="dxa"/>
          </w:tcPr>
          <w:p w14:paraId="5D462121" w14:textId="16B2B329" w:rsidR="004456B1" w:rsidRPr="00981EEC" w:rsidRDefault="004456B1" w:rsidP="0065207F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  <w:r w:rsidRPr="009F7DAE">
              <w:rPr>
                <w:rFonts w:cstheme="minorHAnsi"/>
                <w:lang w:val="fr-FR"/>
              </w:rPr>
              <w:t xml:space="preserve">Un État membre peut </w:t>
            </w:r>
            <w:r w:rsidRPr="004456B1">
              <w:rPr>
                <w:rFonts w:cstheme="minorHAnsi"/>
                <w:u w:val="single"/>
                <w:lang w:val="fr-FR"/>
              </w:rPr>
              <w:t>utiliser</w:t>
            </w:r>
            <w:r w:rsidRPr="009F7DAE">
              <w:rPr>
                <w:rFonts w:cstheme="minorHAnsi"/>
                <w:lang w:val="fr-FR"/>
              </w:rPr>
              <w:t xml:space="preserve"> </w:t>
            </w:r>
            <w:r w:rsidRPr="004456B1">
              <w:rPr>
                <w:rFonts w:cstheme="minorHAnsi"/>
                <w:u w:val="single"/>
                <w:lang w:val="fr-FR"/>
              </w:rPr>
              <w:t>l’argent</w:t>
            </w:r>
            <w:r w:rsidRPr="009F7DAE">
              <w:rPr>
                <w:rFonts w:cstheme="minorHAnsi"/>
                <w:lang w:val="fr-FR"/>
              </w:rPr>
              <w:t xml:space="preserve"> du FRR pour investir dans l’énergie, </w:t>
            </w:r>
            <w:r w:rsidR="00463C7E" w:rsidRPr="00463C7E">
              <w:rPr>
                <w:rFonts w:cstheme="minorHAnsi"/>
                <w:u w:val="single"/>
                <w:lang w:val="fr-FR"/>
              </w:rPr>
              <w:t xml:space="preserve">quoi </w:t>
            </w:r>
            <w:r w:rsidRPr="00463C7E">
              <w:rPr>
                <w:rFonts w:cstheme="minorHAnsi"/>
                <w:u w:val="single"/>
                <w:lang w:val="fr-FR"/>
              </w:rPr>
              <w:t>que</w:t>
            </w:r>
            <w:r w:rsidRPr="009F7DAE">
              <w:rPr>
                <w:rFonts w:cstheme="minorHAnsi"/>
                <w:lang w:val="fr-FR"/>
              </w:rPr>
              <w:t xml:space="preserve"> l’énergie soit verte ou non.</w:t>
            </w:r>
          </w:p>
        </w:tc>
        <w:tc>
          <w:tcPr>
            <w:tcW w:w="2829" w:type="dxa"/>
            <w:vMerge/>
          </w:tcPr>
          <w:p w14:paraId="70A3F65A" w14:textId="036406B4" w:rsidR="004456B1" w:rsidRPr="004456B1" w:rsidRDefault="004456B1" w:rsidP="005760FC">
            <w:pPr>
              <w:rPr>
                <w:rFonts w:cstheme="minorHAnsi"/>
                <w:i/>
                <w:iCs/>
                <w:lang w:val="fr-FR"/>
              </w:rPr>
            </w:pPr>
          </w:p>
        </w:tc>
      </w:tr>
      <w:tr w:rsidR="004456B1" w:rsidRPr="00DA76B5" w14:paraId="5BF13124" w14:textId="5D2ED3DA" w:rsidTr="000A073E">
        <w:tc>
          <w:tcPr>
            <w:tcW w:w="499" w:type="dxa"/>
          </w:tcPr>
          <w:p w14:paraId="3A42CFDF" w14:textId="133C4044" w:rsidR="004456B1" w:rsidRPr="00A12412" w:rsidRDefault="004456B1" w:rsidP="0065207F">
            <w:pPr>
              <w:spacing w:line="240" w:lineRule="exact"/>
              <w:jc w:val="center"/>
              <w:rPr>
                <w:rFonts w:cstheme="minorHAnsi"/>
                <w:lang w:val="en-GB"/>
              </w:rPr>
            </w:pPr>
            <w:r w:rsidRPr="00A12412">
              <w:rPr>
                <w:rFonts w:cstheme="minorHAnsi"/>
                <w:lang w:val="en-GB"/>
              </w:rPr>
              <w:t>6</w:t>
            </w:r>
          </w:p>
        </w:tc>
        <w:tc>
          <w:tcPr>
            <w:tcW w:w="6300" w:type="dxa"/>
          </w:tcPr>
          <w:p w14:paraId="302D7BC0" w14:textId="31E37D4C" w:rsidR="004456B1" w:rsidRPr="00675197" w:rsidRDefault="004456B1" w:rsidP="0065207F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  <w:r w:rsidRPr="00F65B3A">
              <w:rPr>
                <w:rFonts w:cstheme="minorHAnsi"/>
                <w:lang w:val="fr-FR"/>
              </w:rPr>
              <w:t xml:space="preserve">Un État membre doit </w:t>
            </w:r>
            <w:r w:rsidRPr="00463C7E">
              <w:rPr>
                <w:rFonts w:cstheme="minorHAnsi"/>
                <w:u w:val="single"/>
                <w:lang w:val="fr-FR"/>
              </w:rPr>
              <w:t>être en mesure de</w:t>
            </w:r>
            <w:r w:rsidRPr="00F65B3A">
              <w:rPr>
                <w:rFonts w:cstheme="minorHAnsi"/>
                <w:lang w:val="fr-FR"/>
              </w:rPr>
              <w:t xml:space="preserve"> </w:t>
            </w:r>
            <w:r w:rsidRPr="00463C7E">
              <w:rPr>
                <w:rFonts w:cstheme="minorHAnsi"/>
                <w:u w:val="single"/>
                <w:lang w:val="fr-FR"/>
              </w:rPr>
              <w:t>montrer</w:t>
            </w:r>
            <w:r w:rsidRPr="00F65B3A">
              <w:rPr>
                <w:rFonts w:cstheme="minorHAnsi"/>
                <w:lang w:val="fr-FR"/>
              </w:rPr>
              <w:t xml:space="preserve"> qu'il respecte les valeurs communes de l'UE (définies </w:t>
            </w:r>
            <w:r w:rsidR="00463C7E">
              <w:rPr>
                <w:rFonts w:cstheme="minorHAnsi"/>
                <w:lang w:val="fr-FR"/>
              </w:rPr>
              <w:t>dans</w:t>
            </w:r>
            <w:r w:rsidRPr="00F65B3A">
              <w:rPr>
                <w:rFonts w:cstheme="minorHAnsi"/>
                <w:lang w:val="fr-FR"/>
              </w:rPr>
              <w:t xml:space="preserve"> l'article 2 du </w:t>
            </w:r>
            <w:r w:rsidRPr="00463C7E">
              <w:rPr>
                <w:rFonts w:cstheme="minorHAnsi"/>
                <w:u w:val="single"/>
                <w:lang w:val="fr-FR"/>
              </w:rPr>
              <w:t>traité</w:t>
            </w:r>
            <w:r w:rsidRPr="00F65B3A">
              <w:rPr>
                <w:rFonts w:cstheme="minorHAnsi"/>
                <w:lang w:val="fr-FR"/>
              </w:rPr>
              <w:t xml:space="preserve"> sur l'Union européenne</w:t>
            </w:r>
            <w:r>
              <w:rPr>
                <w:rFonts w:cstheme="minorHAnsi"/>
                <w:lang w:val="fr-FR"/>
              </w:rPr>
              <w:t>*</w:t>
            </w:r>
            <w:r w:rsidRPr="00F65B3A">
              <w:rPr>
                <w:rFonts w:cstheme="minorHAnsi"/>
                <w:lang w:val="fr-FR"/>
              </w:rPr>
              <w:t xml:space="preserve">) pour pouvoir </w:t>
            </w:r>
            <w:r w:rsidRPr="00463C7E">
              <w:rPr>
                <w:rFonts w:cstheme="minorHAnsi"/>
                <w:u w:val="single"/>
                <w:lang w:val="fr-FR"/>
              </w:rPr>
              <w:t>recevoir</w:t>
            </w:r>
            <w:r w:rsidRPr="00F65B3A">
              <w:rPr>
                <w:rFonts w:cstheme="minorHAnsi"/>
                <w:lang w:val="fr-FR"/>
              </w:rPr>
              <w:t xml:space="preserve"> de l'argent du fonds.</w:t>
            </w:r>
          </w:p>
        </w:tc>
        <w:tc>
          <w:tcPr>
            <w:tcW w:w="2829" w:type="dxa"/>
            <w:vMerge/>
          </w:tcPr>
          <w:p w14:paraId="68824775" w14:textId="77777777" w:rsidR="004456B1" w:rsidRPr="00F65B3A" w:rsidRDefault="004456B1" w:rsidP="005760FC">
            <w:pPr>
              <w:rPr>
                <w:rFonts w:cstheme="minorHAnsi"/>
                <w:lang w:val="fr-FR"/>
              </w:rPr>
            </w:pPr>
          </w:p>
        </w:tc>
      </w:tr>
      <w:tr w:rsidR="004456B1" w:rsidRPr="00DA76B5" w14:paraId="46C7AAD7" w14:textId="68FC379B" w:rsidTr="000A073E">
        <w:tc>
          <w:tcPr>
            <w:tcW w:w="499" w:type="dxa"/>
          </w:tcPr>
          <w:p w14:paraId="1557853C" w14:textId="74F1CE3F" w:rsidR="004456B1" w:rsidRPr="00A12412" w:rsidRDefault="004456B1" w:rsidP="0065207F">
            <w:pPr>
              <w:spacing w:line="240" w:lineRule="exact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7</w:t>
            </w:r>
          </w:p>
        </w:tc>
        <w:tc>
          <w:tcPr>
            <w:tcW w:w="6300" w:type="dxa"/>
          </w:tcPr>
          <w:p w14:paraId="599F13CE" w14:textId="15F116C2" w:rsidR="004456B1" w:rsidRPr="0074457A" w:rsidRDefault="004456B1" w:rsidP="0065207F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  <w:r w:rsidRPr="007932C1">
              <w:rPr>
                <w:rFonts w:cstheme="minorHAnsi"/>
                <w:lang w:val="fr-FR"/>
              </w:rPr>
              <w:t xml:space="preserve">Les entreprises qui ne respectent pas les </w:t>
            </w:r>
            <w:r w:rsidRPr="00463C7E">
              <w:rPr>
                <w:rFonts w:cstheme="minorHAnsi"/>
                <w:u w:val="single"/>
                <w:lang w:val="fr-FR"/>
              </w:rPr>
              <w:t xml:space="preserve">conventions collectives </w:t>
            </w:r>
            <w:r w:rsidRPr="00463C7E">
              <w:rPr>
                <w:rFonts w:cstheme="minorHAnsi"/>
                <w:lang w:val="fr-FR"/>
              </w:rPr>
              <w:t>locales n</w:t>
            </w:r>
            <w:r w:rsidRPr="007932C1">
              <w:rPr>
                <w:rFonts w:cstheme="minorHAnsi"/>
                <w:lang w:val="fr-FR"/>
              </w:rPr>
              <w:t>e devraient pas recevoir d'argent du FRR.</w:t>
            </w:r>
          </w:p>
        </w:tc>
        <w:tc>
          <w:tcPr>
            <w:tcW w:w="2829" w:type="dxa"/>
            <w:vMerge/>
          </w:tcPr>
          <w:p w14:paraId="2EEE28ED" w14:textId="77777777" w:rsidR="004456B1" w:rsidRPr="007932C1" w:rsidRDefault="004456B1" w:rsidP="005760FC">
            <w:pPr>
              <w:rPr>
                <w:rFonts w:cstheme="minorHAnsi"/>
                <w:lang w:val="fr-FR"/>
              </w:rPr>
            </w:pPr>
          </w:p>
        </w:tc>
      </w:tr>
      <w:tr w:rsidR="004456B1" w:rsidRPr="00DA76B5" w14:paraId="2FE21174" w14:textId="01A4C9FE" w:rsidTr="000A073E">
        <w:tc>
          <w:tcPr>
            <w:tcW w:w="499" w:type="dxa"/>
          </w:tcPr>
          <w:p w14:paraId="1A4F5FBC" w14:textId="0EC44E29" w:rsidR="004456B1" w:rsidRDefault="004456B1" w:rsidP="0065207F">
            <w:pPr>
              <w:spacing w:line="240" w:lineRule="exact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8</w:t>
            </w:r>
          </w:p>
        </w:tc>
        <w:tc>
          <w:tcPr>
            <w:tcW w:w="6300" w:type="dxa"/>
          </w:tcPr>
          <w:p w14:paraId="721878E0" w14:textId="1328E060" w:rsidR="004456B1" w:rsidRPr="00F65B3A" w:rsidRDefault="004456B1" w:rsidP="0065207F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  <w:r w:rsidRPr="0074457A">
              <w:rPr>
                <w:rFonts w:cstheme="minorHAnsi"/>
                <w:lang w:val="fr-FR"/>
              </w:rPr>
              <w:t xml:space="preserve">Pour recevoir de l'argent du fonds, un État membre doit montrer sa </w:t>
            </w:r>
            <w:r w:rsidRPr="00463C7E">
              <w:rPr>
                <w:rFonts w:cstheme="minorHAnsi"/>
                <w:u w:val="single"/>
                <w:lang w:val="fr-FR"/>
              </w:rPr>
              <w:t>volonté</w:t>
            </w:r>
            <w:r w:rsidRPr="0074457A">
              <w:rPr>
                <w:rFonts w:cstheme="minorHAnsi"/>
                <w:lang w:val="fr-FR"/>
              </w:rPr>
              <w:t xml:space="preserve"> de mettre en œuvre des réformes économiques libérales et </w:t>
            </w:r>
            <w:r w:rsidR="00463C7E" w:rsidRPr="00463C7E">
              <w:rPr>
                <w:rFonts w:cstheme="minorHAnsi"/>
                <w:lang w:val="fr-FR"/>
              </w:rPr>
              <w:t>montrer</w:t>
            </w:r>
            <w:r w:rsidRPr="0074457A">
              <w:rPr>
                <w:rFonts w:cstheme="minorHAnsi"/>
                <w:lang w:val="fr-FR"/>
              </w:rPr>
              <w:t xml:space="preserve"> </w:t>
            </w:r>
            <w:r w:rsidR="00463C7E">
              <w:rPr>
                <w:rFonts w:cstheme="minorHAnsi"/>
                <w:lang w:val="fr-FR"/>
              </w:rPr>
              <w:t xml:space="preserve">la </w:t>
            </w:r>
            <w:r w:rsidRPr="0074457A">
              <w:rPr>
                <w:rFonts w:cstheme="minorHAnsi"/>
                <w:lang w:val="fr-FR"/>
              </w:rPr>
              <w:t xml:space="preserve">discipline budgétaire </w:t>
            </w:r>
            <w:r w:rsidRPr="00463C7E">
              <w:rPr>
                <w:rFonts w:cstheme="minorHAnsi"/>
                <w:u w:val="single"/>
                <w:lang w:val="fr-FR"/>
              </w:rPr>
              <w:t>par rapport</w:t>
            </w:r>
            <w:r w:rsidRPr="0074457A">
              <w:rPr>
                <w:rFonts w:cstheme="minorHAnsi"/>
                <w:lang w:val="fr-FR"/>
              </w:rPr>
              <w:t xml:space="preserve"> au budget public.</w:t>
            </w:r>
          </w:p>
        </w:tc>
        <w:tc>
          <w:tcPr>
            <w:tcW w:w="2829" w:type="dxa"/>
            <w:vMerge/>
          </w:tcPr>
          <w:p w14:paraId="29E5CA19" w14:textId="77777777" w:rsidR="004456B1" w:rsidRPr="0074457A" w:rsidRDefault="004456B1" w:rsidP="005760FC">
            <w:pPr>
              <w:rPr>
                <w:rFonts w:cstheme="minorHAnsi"/>
                <w:lang w:val="fr-FR"/>
              </w:rPr>
            </w:pPr>
          </w:p>
        </w:tc>
      </w:tr>
    </w:tbl>
    <w:p w14:paraId="30A7A6D3" w14:textId="3CF676AE" w:rsidR="001A1744" w:rsidRPr="00F65B3A" w:rsidRDefault="001A1744" w:rsidP="005760FC">
      <w:pPr>
        <w:spacing w:after="0" w:line="240" w:lineRule="auto"/>
        <w:rPr>
          <w:rFonts w:cstheme="minorHAnsi"/>
          <w:sz w:val="18"/>
          <w:szCs w:val="18"/>
          <w:lang w:val="fr-FR"/>
        </w:rPr>
      </w:pPr>
    </w:p>
    <w:p w14:paraId="00BE3604" w14:textId="77777777" w:rsidR="00192F38" w:rsidRPr="00192F38" w:rsidRDefault="00192F38" w:rsidP="0065207F">
      <w:pPr>
        <w:spacing w:after="0" w:line="240" w:lineRule="auto"/>
        <w:jc w:val="both"/>
        <w:rPr>
          <w:lang w:val="fr-FR"/>
        </w:rPr>
      </w:pPr>
      <w:r w:rsidRPr="00192F38">
        <w:rPr>
          <w:lang w:val="fr-FR"/>
        </w:rPr>
        <w:t>*Traité de l'Union européenne, article 2 :</w:t>
      </w:r>
    </w:p>
    <w:p w14:paraId="5A0AC472" w14:textId="157379DD" w:rsidR="001C7FAD" w:rsidRDefault="00192F38" w:rsidP="0065207F">
      <w:pPr>
        <w:spacing w:after="0" w:line="240" w:lineRule="auto"/>
        <w:jc w:val="both"/>
        <w:rPr>
          <w:lang w:val="fr-FR"/>
        </w:rPr>
      </w:pPr>
      <w:r w:rsidRPr="00192F38">
        <w:rPr>
          <w:lang w:val="fr-FR"/>
        </w:rPr>
        <w:t xml:space="preserve">L'Union est fondée sur </w:t>
      </w:r>
      <w:r w:rsidR="00463C7E">
        <w:rPr>
          <w:lang w:val="fr-FR"/>
        </w:rPr>
        <w:t>d</w:t>
      </w:r>
      <w:r w:rsidRPr="00192F38">
        <w:rPr>
          <w:lang w:val="fr-FR"/>
        </w:rPr>
        <w:t>es valeurs de respect</w:t>
      </w:r>
      <w:r w:rsidR="00973CCA">
        <w:rPr>
          <w:lang w:val="fr-FR"/>
        </w:rPr>
        <w:t>,</w:t>
      </w:r>
      <w:r w:rsidRPr="00192F38">
        <w:rPr>
          <w:lang w:val="fr-FR"/>
        </w:rPr>
        <w:t xml:space="preserve"> de la </w:t>
      </w:r>
      <w:r w:rsidRPr="00973CCA">
        <w:rPr>
          <w:u w:val="single"/>
          <w:lang w:val="fr-FR"/>
        </w:rPr>
        <w:t>dignité</w:t>
      </w:r>
      <w:r w:rsidRPr="00192F38">
        <w:rPr>
          <w:lang w:val="fr-FR"/>
        </w:rPr>
        <w:t xml:space="preserve"> humaine, de</w:t>
      </w:r>
      <w:r w:rsidR="00973CCA">
        <w:rPr>
          <w:lang w:val="fr-FR"/>
        </w:rPr>
        <w:t xml:space="preserve"> la</w:t>
      </w:r>
      <w:r w:rsidRPr="00192F38">
        <w:rPr>
          <w:lang w:val="fr-FR"/>
        </w:rPr>
        <w:t xml:space="preserve"> liberté, de </w:t>
      </w:r>
      <w:r w:rsidR="00973CCA">
        <w:rPr>
          <w:lang w:val="fr-FR"/>
        </w:rPr>
        <w:t xml:space="preserve">la </w:t>
      </w:r>
      <w:r w:rsidRPr="00192F38">
        <w:rPr>
          <w:lang w:val="fr-FR"/>
        </w:rPr>
        <w:t>démocratie, d</w:t>
      </w:r>
      <w:r w:rsidR="00973CCA">
        <w:rPr>
          <w:lang w:val="fr-FR"/>
        </w:rPr>
        <w:t>e l</w:t>
      </w:r>
      <w:r w:rsidRPr="00192F38">
        <w:rPr>
          <w:lang w:val="fr-FR"/>
        </w:rPr>
        <w:t>'égalité, d'</w:t>
      </w:r>
      <w:r w:rsidRPr="00973CCA">
        <w:rPr>
          <w:u w:val="single"/>
          <w:lang w:val="fr-FR"/>
        </w:rPr>
        <w:t>État de droit</w:t>
      </w:r>
      <w:r w:rsidRPr="00973CCA">
        <w:rPr>
          <w:lang w:val="fr-FR"/>
        </w:rPr>
        <w:t xml:space="preserve"> </w:t>
      </w:r>
      <w:r w:rsidRPr="00192F38">
        <w:rPr>
          <w:lang w:val="fr-FR"/>
        </w:rPr>
        <w:t>et d</w:t>
      </w:r>
      <w:r w:rsidR="00973CCA">
        <w:rPr>
          <w:lang w:val="fr-FR"/>
        </w:rPr>
        <w:t xml:space="preserve">u </w:t>
      </w:r>
      <w:r w:rsidRPr="00192F38">
        <w:rPr>
          <w:lang w:val="fr-FR"/>
        </w:rPr>
        <w:t xml:space="preserve">respect des </w:t>
      </w:r>
      <w:r w:rsidRPr="00973CCA">
        <w:rPr>
          <w:u w:val="single"/>
          <w:lang w:val="fr-FR"/>
        </w:rPr>
        <w:t>droits de l'homme</w:t>
      </w:r>
      <w:r w:rsidRPr="00192F38">
        <w:rPr>
          <w:lang w:val="fr-FR"/>
        </w:rPr>
        <w:t xml:space="preserve">, y compris les droits des personnes </w:t>
      </w:r>
      <w:r w:rsidRPr="00973CCA">
        <w:rPr>
          <w:u w:val="single"/>
          <w:lang w:val="fr-FR"/>
        </w:rPr>
        <w:t>appartenant</w:t>
      </w:r>
      <w:r w:rsidRPr="00192F38">
        <w:rPr>
          <w:lang w:val="fr-FR"/>
        </w:rPr>
        <w:t xml:space="preserve"> à des minorités. Ces valeurs sont communes aux États membres dans une société caractérisée par le </w:t>
      </w:r>
      <w:r w:rsidRPr="00973CCA">
        <w:rPr>
          <w:lang w:val="fr-FR"/>
        </w:rPr>
        <w:t>pluralisme</w:t>
      </w:r>
      <w:r w:rsidRPr="00192F38">
        <w:rPr>
          <w:lang w:val="fr-FR"/>
        </w:rPr>
        <w:t>, la non-discrimination, la tolérance, la justice, la solidarité et l'égalité entre les femmes et les hommes.</w:t>
      </w:r>
    </w:p>
    <w:p w14:paraId="0638C012" w14:textId="77777777" w:rsidR="00087FE9" w:rsidRPr="00192F38" w:rsidRDefault="00087FE9" w:rsidP="0065207F">
      <w:pPr>
        <w:spacing w:after="0" w:line="240" w:lineRule="auto"/>
        <w:jc w:val="both"/>
        <w:rPr>
          <w:rFonts w:cstheme="minorHAnsi"/>
          <w:sz w:val="18"/>
          <w:szCs w:val="18"/>
          <w:lang w:val="fr-FR"/>
        </w:rPr>
      </w:pPr>
    </w:p>
    <w:p w14:paraId="2A99CD0F" w14:textId="2C6B888D" w:rsidR="00973CCA" w:rsidRPr="003541B1" w:rsidRDefault="00973CCA" w:rsidP="00087FE9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3541B1">
        <w:rPr>
          <w:rFonts w:cstheme="minorHAnsi"/>
          <w:b/>
          <w:bCs/>
          <w:sz w:val="18"/>
          <w:szCs w:val="18"/>
        </w:rPr>
        <w:t>Gloser</w:t>
      </w:r>
    </w:p>
    <w:p w14:paraId="5A3409BA" w14:textId="3BD1BA57" w:rsidR="00973CCA" w:rsidRPr="00973CCA" w:rsidRDefault="00973CCA" w:rsidP="00087FE9">
      <w:pPr>
        <w:spacing w:after="0" w:line="240" w:lineRule="auto"/>
        <w:rPr>
          <w:rFonts w:cstheme="minorHAnsi"/>
          <w:i/>
          <w:iCs/>
          <w:sz w:val="18"/>
          <w:szCs w:val="18"/>
        </w:rPr>
      </w:pPr>
      <w:proofErr w:type="spellStart"/>
      <w:r w:rsidRPr="00973CCA">
        <w:rPr>
          <w:rFonts w:cstheme="minorHAnsi"/>
          <w:sz w:val="18"/>
          <w:szCs w:val="18"/>
        </w:rPr>
        <w:t>Dignité</w:t>
      </w:r>
      <w:proofErr w:type="spellEnd"/>
      <w:r w:rsidRPr="00973CCA">
        <w:rPr>
          <w:rFonts w:cstheme="minorHAnsi"/>
          <w:sz w:val="18"/>
          <w:szCs w:val="18"/>
        </w:rPr>
        <w:t xml:space="preserve"> (f</w:t>
      </w:r>
      <w:proofErr w:type="gramStart"/>
      <w:r w:rsidRPr="00973CCA">
        <w:rPr>
          <w:rFonts w:cstheme="minorHAnsi"/>
          <w:sz w:val="18"/>
          <w:szCs w:val="18"/>
        </w:rPr>
        <w:t>) :</w:t>
      </w:r>
      <w:proofErr w:type="gramEnd"/>
      <w:r w:rsidRPr="00973CCA">
        <w:rPr>
          <w:rFonts w:cstheme="minorHAnsi"/>
          <w:sz w:val="18"/>
          <w:szCs w:val="18"/>
        </w:rPr>
        <w:t xml:space="preserve"> </w:t>
      </w:r>
      <w:r w:rsidRPr="00973CCA">
        <w:rPr>
          <w:rFonts w:cstheme="minorHAnsi"/>
          <w:i/>
          <w:iCs/>
          <w:sz w:val="18"/>
          <w:szCs w:val="18"/>
        </w:rPr>
        <w:t>Værdighed</w:t>
      </w:r>
    </w:p>
    <w:p w14:paraId="356B6C3C" w14:textId="5FFAF83B" w:rsidR="00973CCA" w:rsidRDefault="00973CCA" w:rsidP="00087FE9">
      <w:pPr>
        <w:spacing w:after="0" w:line="240" w:lineRule="auto"/>
        <w:rPr>
          <w:rFonts w:cstheme="minorHAnsi"/>
          <w:i/>
          <w:iCs/>
          <w:sz w:val="18"/>
          <w:szCs w:val="18"/>
        </w:rPr>
      </w:pPr>
      <w:proofErr w:type="spellStart"/>
      <w:r w:rsidRPr="00973CCA">
        <w:rPr>
          <w:rFonts w:cstheme="minorHAnsi"/>
          <w:sz w:val="18"/>
          <w:szCs w:val="18"/>
        </w:rPr>
        <w:t>État</w:t>
      </w:r>
      <w:proofErr w:type="spellEnd"/>
      <w:r w:rsidRPr="00973CCA">
        <w:rPr>
          <w:rFonts w:cstheme="minorHAnsi"/>
          <w:sz w:val="18"/>
          <w:szCs w:val="18"/>
        </w:rPr>
        <w:t xml:space="preserve"> de </w:t>
      </w:r>
      <w:proofErr w:type="spellStart"/>
      <w:r w:rsidRPr="00973CCA">
        <w:rPr>
          <w:rFonts w:cstheme="minorHAnsi"/>
          <w:sz w:val="18"/>
          <w:szCs w:val="18"/>
        </w:rPr>
        <w:t>d</w:t>
      </w:r>
      <w:r>
        <w:rPr>
          <w:rFonts w:cstheme="minorHAnsi"/>
          <w:sz w:val="18"/>
          <w:szCs w:val="18"/>
        </w:rPr>
        <w:t>roit</w:t>
      </w:r>
      <w:proofErr w:type="spellEnd"/>
      <w:r>
        <w:rPr>
          <w:rFonts w:cstheme="minorHAnsi"/>
          <w:sz w:val="18"/>
          <w:szCs w:val="18"/>
        </w:rPr>
        <w:t xml:space="preserve"> (m</w:t>
      </w:r>
      <w:proofErr w:type="gramStart"/>
      <w:r>
        <w:rPr>
          <w:rFonts w:cstheme="minorHAnsi"/>
          <w:sz w:val="18"/>
          <w:szCs w:val="18"/>
        </w:rPr>
        <w:t>) :</w:t>
      </w:r>
      <w:proofErr w:type="gramEnd"/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>Retsstat</w:t>
      </w:r>
    </w:p>
    <w:p w14:paraId="3704E56A" w14:textId="180CA075" w:rsidR="00973CCA" w:rsidRDefault="00973CCA" w:rsidP="00087FE9">
      <w:pPr>
        <w:spacing w:after="0" w:line="240" w:lineRule="auto"/>
        <w:rPr>
          <w:rFonts w:cstheme="minorHAnsi"/>
          <w:i/>
          <w:iCs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Droit</w:t>
      </w:r>
      <w:proofErr w:type="spellEnd"/>
      <w:r>
        <w:rPr>
          <w:rFonts w:cstheme="minorHAnsi"/>
          <w:sz w:val="18"/>
          <w:szCs w:val="18"/>
        </w:rPr>
        <w:t xml:space="preserve"> de </w:t>
      </w:r>
      <w:proofErr w:type="spellStart"/>
      <w:r>
        <w:rPr>
          <w:rFonts w:cstheme="minorHAnsi"/>
          <w:sz w:val="18"/>
          <w:szCs w:val="18"/>
        </w:rPr>
        <w:t>l’homme</w:t>
      </w:r>
      <w:proofErr w:type="spellEnd"/>
      <w:r>
        <w:rPr>
          <w:rFonts w:cstheme="minorHAnsi"/>
          <w:sz w:val="18"/>
          <w:szCs w:val="18"/>
        </w:rPr>
        <w:t xml:space="preserve"> (m</w:t>
      </w:r>
      <w:proofErr w:type="gramStart"/>
      <w:r>
        <w:rPr>
          <w:rFonts w:cstheme="minorHAnsi"/>
          <w:sz w:val="18"/>
          <w:szCs w:val="18"/>
        </w:rPr>
        <w:t>) :</w:t>
      </w:r>
      <w:proofErr w:type="gramEnd"/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>Menneskerettighed</w:t>
      </w:r>
    </w:p>
    <w:p w14:paraId="056124B7" w14:textId="308530B4" w:rsidR="00973CCA" w:rsidRPr="00973CCA" w:rsidRDefault="00973CCA" w:rsidP="00087FE9">
      <w:pPr>
        <w:spacing w:after="0" w:line="240" w:lineRule="auto"/>
        <w:rPr>
          <w:rFonts w:cstheme="minorHAnsi"/>
          <w:i/>
          <w:iCs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Appartenir</w:t>
      </w:r>
      <w:proofErr w:type="spellEnd"/>
      <w:r>
        <w:rPr>
          <w:rFonts w:cstheme="minorHAnsi"/>
          <w:sz w:val="18"/>
          <w:szCs w:val="18"/>
        </w:rPr>
        <w:t xml:space="preserve"> (</w:t>
      </w:r>
      <w:proofErr w:type="spellStart"/>
      <w:r>
        <w:rPr>
          <w:rFonts w:cstheme="minorHAnsi"/>
          <w:sz w:val="18"/>
          <w:szCs w:val="18"/>
        </w:rPr>
        <w:t>vb</w:t>
      </w:r>
      <w:proofErr w:type="spellEnd"/>
      <w:proofErr w:type="gramStart"/>
      <w:r>
        <w:rPr>
          <w:rFonts w:cstheme="minorHAnsi"/>
          <w:sz w:val="18"/>
          <w:szCs w:val="18"/>
        </w:rPr>
        <w:t>) :</w:t>
      </w:r>
      <w:proofErr w:type="gramEnd"/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>At tilhøre</w:t>
      </w:r>
    </w:p>
    <w:sectPr w:rsidR="00973CCA" w:rsidRPr="00973C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DFF"/>
    <w:multiLevelType w:val="hybridMultilevel"/>
    <w:tmpl w:val="874E5D84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6D39"/>
    <w:multiLevelType w:val="hybridMultilevel"/>
    <w:tmpl w:val="C436C834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246"/>
    <w:multiLevelType w:val="hybridMultilevel"/>
    <w:tmpl w:val="937C90BC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37D1C"/>
    <w:multiLevelType w:val="hybridMultilevel"/>
    <w:tmpl w:val="D0D40EBA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667B7"/>
    <w:multiLevelType w:val="hybridMultilevel"/>
    <w:tmpl w:val="6D2CB13E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01460"/>
    <w:multiLevelType w:val="hybridMultilevel"/>
    <w:tmpl w:val="C78AB7AE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42E44"/>
    <w:multiLevelType w:val="hybridMultilevel"/>
    <w:tmpl w:val="5590016C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42833"/>
    <w:multiLevelType w:val="hybridMultilevel"/>
    <w:tmpl w:val="0F7C7812"/>
    <w:lvl w:ilvl="0" w:tplc="A6C8BE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50B0B"/>
    <w:multiLevelType w:val="hybridMultilevel"/>
    <w:tmpl w:val="24AC207A"/>
    <w:lvl w:ilvl="0" w:tplc="A2FC33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B17AD"/>
    <w:multiLevelType w:val="hybridMultilevel"/>
    <w:tmpl w:val="69100692"/>
    <w:lvl w:ilvl="0" w:tplc="37D41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B4432"/>
    <w:multiLevelType w:val="hybridMultilevel"/>
    <w:tmpl w:val="0824A7B0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14DAA"/>
    <w:multiLevelType w:val="hybridMultilevel"/>
    <w:tmpl w:val="633ED5BA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56C07"/>
    <w:multiLevelType w:val="hybridMultilevel"/>
    <w:tmpl w:val="340CFCB6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66B93"/>
    <w:multiLevelType w:val="hybridMultilevel"/>
    <w:tmpl w:val="4D507E02"/>
    <w:lvl w:ilvl="0" w:tplc="9092CDD6">
      <w:start w:val="1"/>
      <w:numFmt w:val="bullet"/>
      <w:lvlText w:val="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7B9848D3"/>
    <w:multiLevelType w:val="hybridMultilevel"/>
    <w:tmpl w:val="39C82E2E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024169">
    <w:abstractNumId w:val="9"/>
  </w:num>
  <w:num w:numId="2" w16cid:durableId="1208372730">
    <w:abstractNumId w:val="4"/>
  </w:num>
  <w:num w:numId="3" w16cid:durableId="160195763">
    <w:abstractNumId w:val="13"/>
  </w:num>
  <w:num w:numId="4" w16cid:durableId="405229299">
    <w:abstractNumId w:val="0"/>
  </w:num>
  <w:num w:numId="5" w16cid:durableId="1325552234">
    <w:abstractNumId w:val="12"/>
  </w:num>
  <w:num w:numId="6" w16cid:durableId="820463479">
    <w:abstractNumId w:val="10"/>
  </w:num>
  <w:num w:numId="7" w16cid:durableId="1635868842">
    <w:abstractNumId w:val="1"/>
  </w:num>
  <w:num w:numId="8" w16cid:durableId="940066449">
    <w:abstractNumId w:val="11"/>
  </w:num>
  <w:num w:numId="9" w16cid:durableId="815996059">
    <w:abstractNumId w:val="2"/>
  </w:num>
  <w:num w:numId="10" w16cid:durableId="694157345">
    <w:abstractNumId w:val="3"/>
  </w:num>
  <w:num w:numId="11" w16cid:durableId="2137941795">
    <w:abstractNumId w:val="14"/>
  </w:num>
  <w:num w:numId="12" w16cid:durableId="1924559714">
    <w:abstractNumId w:val="5"/>
  </w:num>
  <w:num w:numId="13" w16cid:durableId="700592042">
    <w:abstractNumId w:val="6"/>
  </w:num>
  <w:num w:numId="14" w16cid:durableId="2076734983">
    <w:abstractNumId w:val="7"/>
  </w:num>
  <w:num w:numId="15" w16cid:durableId="4469719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6B"/>
    <w:rsid w:val="000018B6"/>
    <w:rsid w:val="00002DF6"/>
    <w:rsid w:val="00003879"/>
    <w:rsid w:val="0000593E"/>
    <w:rsid w:val="00007797"/>
    <w:rsid w:val="00012130"/>
    <w:rsid w:val="00015647"/>
    <w:rsid w:val="000247F2"/>
    <w:rsid w:val="000249F0"/>
    <w:rsid w:val="00031B08"/>
    <w:rsid w:val="00037811"/>
    <w:rsid w:val="00042E39"/>
    <w:rsid w:val="0004395A"/>
    <w:rsid w:val="000442B6"/>
    <w:rsid w:val="000455C5"/>
    <w:rsid w:val="0004634C"/>
    <w:rsid w:val="0006798E"/>
    <w:rsid w:val="00067D68"/>
    <w:rsid w:val="00077485"/>
    <w:rsid w:val="00081D1F"/>
    <w:rsid w:val="0008660A"/>
    <w:rsid w:val="0008696D"/>
    <w:rsid w:val="00087FE9"/>
    <w:rsid w:val="00091ABE"/>
    <w:rsid w:val="00091CA7"/>
    <w:rsid w:val="00092EB4"/>
    <w:rsid w:val="000A073E"/>
    <w:rsid w:val="000A0BB5"/>
    <w:rsid w:val="000A4189"/>
    <w:rsid w:val="000B0AFD"/>
    <w:rsid w:val="000B30FD"/>
    <w:rsid w:val="000B3674"/>
    <w:rsid w:val="000B3B4E"/>
    <w:rsid w:val="000B6656"/>
    <w:rsid w:val="000C4F88"/>
    <w:rsid w:val="000C7AFF"/>
    <w:rsid w:val="000D0863"/>
    <w:rsid w:val="000D30A2"/>
    <w:rsid w:val="000D6709"/>
    <w:rsid w:val="000D6FA2"/>
    <w:rsid w:val="000E2D25"/>
    <w:rsid w:val="000E6C5C"/>
    <w:rsid w:val="000F3A72"/>
    <w:rsid w:val="001114EB"/>
    <w:rsid w:val="00115491"/>
    <w:rsid w:val="0012416E"/>
    <w:rsid w:val="00124798"/>
    <w:rsid w:val="00126263"/>
    <w:rsid w:val="00126920"/>
    <w:rsid w:val="00127636"/>
    <w:rsid w:val="001277D8"/>
    <w:rsid w:val="00131345"/>
    <w:rsid w:val="00145391"/>
    <w:rsid w:val="00146465"/>
    <w:rsid w:val="00146700"/>
    <w:rsid w:val="00151C5C"/>
    <w:rsid w:val="00153D6C"/>
    <w:rsid w:val="00154720"/>
    <w:rsid w:val="00165FB3"/>
    <w:rsid w:val="00171887"/>
    <w:rsid w:val="00172096"/>
    <w:rsid w:val="0018049B"/>
    <w:rsid w:val="00182D8C"/>
    <w:rsid w:val="001841AC"/>
    <w:rsid w:val="0018742B"/>
    <w:rsid w:val="0019056D"/>
    <w:rsid w:val="00191EF9"/>
    <w:rsid w:val="00192F38"/>
    <w:rsid w:val="00192FD6"/>
    <w:rsid w:val="001A1744"/>
    <w:rsid w:val="001A582A"/>
    <w:rsid w:val="001A6FED"/>
    <w:rsid w:val="001A7E96"/>
    <w:rsid w:val="001B6C42"/>
    <w:rsid w:val="001B7FF1"/>
    <w:rsid w:val="001C011D"/>
    <w:rsid w:val="001C20AC"/>
    <w:rsid w:val="001C362D"/>
    <w:rsid w:val="001C503F"/>
    <w:rsid w:val="001C7FAD"/>
    <w:rsid w:val="001E4648"/>
    <w:rsid w:val="001F2665"/>
    <w:rsid w:val="001F538C"/>
    <w:rsid w:val="0021018E"/>
    <w:rsid w:val="00210403"/>
    <w:rsid w:val="0021043D"/>
    <w:rsid w:val="00210B0A"/>
    <w:rsid w:val="00211037"/>
    <w:rsid w:val="00213BEE"/>
    <w:rsid w:val="00231821"/>
    <w:rsid w:val="00234ACD"/>
    <w:rsid w:val="00237439"/>
    <w:rsid w:val="002403E0"/>
    <w:rsid w:val="00241635"/>
    <w:rsid w:val="002449AF"/>
    <w:rsid w:val="0024609D"/>
    <w:rsid w:val="00251F81"/>
    <w:rsid w:val="00256F28"/>
    <w:rsid w:val="002607D0"/>
    <w:rsid w:val="00261555"/>
    <w:rsid w:val="0026303A"/>
    <w:rsid w:val="002650AC"/>
    <w:rsid w:val="0026610B"/>
    <w:rsid w:val="00266C5C"/>
    <w:rsid w:val="0027502A"/>
    <w:rsid w:val="002862D1"/>
    <w:rsid w:val="002868B3"/>
    <w:rsid w:val="0029135E"/>
    <w:rsid w:val="00297A41"/>
    <w:rsid w:val="002A0020"/>
    <w:rsid w:val="002A163B"/>
    <w:rsid w:val="002A66A3"/>
    <w:rsid w:val="002B02F6"/>
    <w:rsid w:val="002B4423"/>
    <w:rsid w:val="002C5255"/>
    <w:rsid w:val="002C544D"/>
    <w:rsid w:val="002C6710"/>
    <w:rsid w:val="002D141D"/>
    <w:rsid w:val="002D1448"/>
    <w:rsid w:val="002D3B7F"/>
    <w:rsid w:val="002D3DF4"/>
    <w:rsid w:val="002D7490"/>
    <w:rsid w:val="002E08E3"/>
    <w:rsid w:val="002E4213"/>
    <w:rsid w:val="002E4DB6"/>
    <w:rsid w:val="002E5187"/>
    <w:rsid w:val="002F6B9B"/>
    <w:rsid w:val="002F701F"/>
    <w:rsid w:val="002F77CA"/>
    <w:rsid w:val="002F7918"/>
    <w:rsid w:val="003066F1"/>
    <w:rsid w:val="00306E32"/>
    <w:rsid w:val="00313483"/>
    <w:rsid w:val="00315AA2"/>
    <w:rsid w:val="003173E5"/>
    <w:rsid w:val="00322E7D"/>
    <w:rsid w:val="003309A4"/>
    <w:rsid w:val="00330A26"/>
    <w:rsid w:val="0033141F"/>
    <w:rsid w:val="0033228F"/>
    <w:rsid w:val="003336BB"/>
    <w:rsid w:val="00333B89"/>
    <w:rsid w:val="00334659"/>
    <w:rsid w:val="003372FA"/>
    <w:rsid w:val="0034679B"/>
    <w:rsid w:val="00346D03"/>
    <w:rsid w:val="003526AC"/>
    <w:rsid w:val="00352C26"/>
    <w:rsid w:val="003541B1"/>
    <w:rsid w:val="00362495"/>
    <w:rsid w:val="00362E10"/>
    <w:rsid w:val="003776C5"/>
    <w:rsid w:val="003814B1"/>
    <w:rsid w:val="00382CCA"/>
    <w:rsid w:val="00383AD4"/>
    <w:rsid w:val="0039009D"/>
    <w:rsid w:val="0039184D"/>
    <w:rsid w:val="0039346B"/>
    <w:rsid w:val="003A665E"/>
    <w:rsid w:val="003B1916"/>
    <w:rsid w:val="003C767C"/>
    <w:rsid w:val="003C7FE2"/>
    <w:rsid w:val="003D157B"/>
    <w:rsid w:val="003D1BF1"/>
    <w:rsid w:val="003D26EC"/>
    <w:rsid w:val="003D37E1"/>
    <w:rsid w:val="003E4386"/>
    <w:rsid w:val="003F2E13"/>
    <w:rsid w:val="003F2FCC"/>
    <w:rsid w:val="003F3848"/>
    <w:rsid w:val="003F4D85"/>
    <w:rsid w:val="003F50C4"/>
    <w:rsid w:val="004029BA"/>
    <w:rsid w:val="00411903"/>
    <w:rsid w:val="00414D10"/>
    <w:rsid w:val="00416C77"/>
    <w:rsid w:val="004217AE"/>
    <w:rsid w:val="00425282"/>
    <w:rsid w:val="00427119"/>
    <w:rsid w:val="00430A54"/>
    <w:rsid w:val="004344E0"/>
    <w:rsid w:val="0043700B"/>
    <w:rsid w:val="00441009"/>
    <w:rsid w:val="004410CF"/>
    <w:rsid w:val="00443607"/>
    <w:rsid w:val="004456B1"/>
    <w:rsid w:val="0045584F"/>
    <w:rsid w:val="00455DE3"/>
    <w:rsid w:val="00461077"/>
    <w:rsid w:val="00461E90"/>
    <w:rsid w:val="00462517"/>
    <w:rsid w:val="00463C7E"/>
    <w:rsid w:val="0046766A"/>
    <w:rsid w:val="004678FE"/>
    <w:rsid w:val="00467DBC"/>
    <w:rsid w:val="00467FCA"/>
    <w:rsid w:val="00477746"/>
    <w:rsid w:val="004814AA"/>
    <w:rsid w:val="004814D0"/>
    <w:rsid w:val="004850A3"/>
    <w:rsid w:val="0048513B"/>
    <w:rsid w:val="00487B8D"/>
    <w:rsid w:val="0049480B"/>
    <w:rsid w:val="004958DB"/>
    <w:rsid w:val="004967AB"/>
    <w:rsid w:val="004A485D"/>
    <w:rsid w:val="004A67EC"/>
    <w:rsid w:val="004C27D5"/>
    <w:rsid w:val="004C3D19"/>
    <w:rsid w:val="004C451B"/>
    <w:rsid w:val="004C4BA6"/>
    <w:rsid w:val="004C7B4B"/>
    <w:rsid w:val="004D3A04"/>
    <w:rsid w:val="004D4B54"/>
    <w:rsid w:val="004D7B4F"/>
    <w:rsid w:val="004E0F89"/>
    <w:rsid w:val="004E2780"/>
    <w:rsid w:val="004E394B"/>
    <w:rsid w:val="004F084D"/>
    <w:rsid w:val="004F143F"/>
    <w:rsid w:val="0051072C"/>
    <w:rsid w:val="0051350B"/>
    <w:rsid w:val="005148CC"/>
    <w:rsid w:val="00515B20"/>
    <w:rsid w:val="00526A7E"/>
    <w:rsid w:val="00526FD6"/>
    <w:rsid w:val="005360B1"/>
    <w:rsid w:val="005573C8"/>
    <w:rsid w:val="005727EB"/>
    <w:rsid w:val="005746FA"/>
    <w:rsid w:val="005760FC"/>
    <w:rsid w:val="00581476"/>
    <w:rsid w:val="00581712"/>
    <w:rsid w:val="005849B0"/>
    <w:rsid w:val="00590D6E"/>
    <w:rsid w:val="005A0C1D"/>
    <w:rsid w:val="005A1EC8"/>
    <w:rsid w:val="005A464D"/>
    <w:rsid w:val="005A4E0E"/>
    <w:rsid w:val="005A5AE1"/>
    <w:rsid w:val="005A5FD1"/>
    <w:rsid w:val="005B0CD4"/>
    <w:rsid w:val="005B3FF6"/>
    <w:rsid w:val="005B6768"/>
    <w:rsid w:val="005C515F"/>
    <w:rsid w:val="005C79F9"/>
    <w:rsid w:val="005D26AF"/>
    <w:rsid w:val="005E17B1"/>
    <w:rsid w:val="005E488D"/>
    <w:rsid w:val="005F7336"/>
    <w:rsid w:val="005F7862"/>
    <w:rsid w:val="0060063E"/>
    <w:rsid w:val="0060612F"/>
    <w:rsid w:val="00610B31"/>
    <w:rsid w:val="00630C53"/>
    <w:rsid w:val="00634AC2"/>
    <w:rsid w:val="006464EF"/>
    <w:rsid w:val="00646D6C"/>
    <w:rsid w:val="0065207F"/>
    <w:rsid w:val="006520F9"/>
    <w:rsid w:val="006622B4"/>
    <w:rsid w:val="00664C09"/>
    <w:rsid w:val="006667E7"/>
    <w:rsid w:val="00667318"/>
    <w:rsid w:val="00667964"/>
    <w:rsid w:val="0067357A"/>
    <w:rsid w:val="00673A5A"/>
    <w:rsid w:val="00675197"/>
    <w:rsid w:val="006764A1"/>
    <w:rsid w:val="00677812"/>
    <w:rsid w:val="006829F7"/>
    <w:rsid w:val="006878A5"/>
    <w:rsid w:val="00693A30"/>
    <w:rsid w:val="006B19AB"/>
    <w:rsid w:val="006B256B"/>
    <w:rsid w:val="006B4945"/>
    <w:rsid w:val="006C0FE9"/>
    <w:rsid w:val="006C7144"/>
    <w:rsid w:val="006D5EE1"/>
    <w:rsid w:val="006E2814"/>
    <w:rsid w:val="006E326F"/>
    <w:rsid w:val="006E3F27"/>
    <w:rsid w:val="006E43A4"/>
    <w:rsid w:val="006F0177"/>
    <w:rsid w:val="006F2C47"/>
    <w:rsid w:val="006F74F7"/>
    <w:rsid w:val="006F7951"/>
    <w:rsid w:val="007157C7"/>
    <w:rsid w:val="0071601A"/>
    <w:rsid w:val="0072232D"/>
    <w:rsid w:val="007233CA"/>
    <w:rsid w:val="0073291E"/>
    <w:rsid w:val="0073418D"/>
    <w:rsid w:val="00735237"/>
    <w:rsid w:val="0074457A"/>
    <w:rsid w:val="00747B45"/>
    <w:rsid w:val="007537D0"/>
    <w:rsid w:val="0075467A"/>
    <w:rsid w:val="0075492D"/>
    <w:rsid w:val="00763290"/>
    <w:rsid w:val="00777EE4"/>
    <w:rsid w:val="00787EF5"/>
    <w:rsid w:val="00791C3F"/>
    <w:rsid w:val="007932C1"/>
    <w:rsid w:val="007A0D73"/>
    <w:rsid w:val="007A3141"/>
    <w:rsid w:val="007A783E"/>
    <w:rsid w:val="007C16AB"/>
    <w:rsid w:val="007C188B"/>
    <w:rsid w:val="007C1E8A"/>
    <w:rsid w:val="007D4C6E"/>
    <w:rsid w:val="007D595E"/>
    <w:rsid w:val="007E2403"/>
    <w:rsid w:val="007E79E6"/>
    <w:rsid w:val="007F0244"/>
    <w:rsid w:val="007F0EFF"/>
    <w:rsid w:val="007F23FB"/>
    <w:rsid w:val="007F2695"/>
    <w:rsid w:val="007F4FE4"/>
    <w:rsid w:val="007F518B"/>
    <w:rsid w:val="007F521B"/>
    <w:rsid w:val="007F5FD4"/>
    <w:rsid w:val="00802532"/>
    <w:rsid w:val="0080427D"/>
    <w:rsid w:val="00806F5E"/>
    <w:rsid w:val="008321B2"/>
    <w:rsid w:val="008344AE"/>
    <w:rsid w:val="00836A88"/>
    <w:rsid w:val="00843F08"/>
    <w:rsid w:val="00845E77"/>
    <w:rsid w:val="008464B8"/>
    <w:rsid w:val="008524DB"/>
    <w:rsid w:val="008573AD"/>
    <w:rsid w:val="00863406"/>
    <w:rsid w:val="00863782"/>
    <w:rsid w:val="008640DE"/>
    <w:rsid w:val="0086537B"/>
    <w:rsid w:val="008661D3"/>
    <w:rsid w:val="0086765B"/>
    <w:rsid w:val="008728AE"/>
    <w:rsid w:val="00880B7C"/>
    <w:rsid w:val="008814BC"/>
    <w:rsid w:val="00881ED0"/>
    <w:rsid w:val="00881FED"/>
    <w:rsid w:val="008869B0"/>
    <w:rsid w:val="00887D98"/>
    <w:rsid w:val="0089533A"/>
    <w:rsid w:val="00896DE3"/>
    <w:rsid w:val="00896F71"/>
    <w:rsid w:val="008A66B1"/>
    <w:rsid w:val="008A6A0C"/>
    <w:rsid w:val="008B36C3"/>
    <w:rsid w:val="008B7DEF"/>
    <w:rsid w:val="008D0878"/>
    <w:rsid w:val="008D7181"/>
    <w:rsid w:val="008E0AC2"/>
    <w:rsid w:val="008E2128"/>
    <w:rsid w:val="008E7F58"/>
    <w:rsid w:val="008F025D"/>
    <w:rsid w:val="008F4F51"/>
    <w:rsid w:val="008F6AF2"/>
    <w:rsid w:val="009015BA"/>
    <w:rsid w:val="00904488"/>
    <w:rsid w:val="009067F1"/>
    <w:rsid w:val="00906B53"/>
    <w:rsid w:val="00913A21"/>
    <w:rsid w:val="00917C1D"/>
    <w:rsid w:val="00917D25"/>
    <w:rsid w:val="009210B9"/>
    <w:rsid w:val="00921AB0"/>
    <w:rsid w:val="00923414"/>
    <w:rsid w:val="009241B2"/>
    <w:rsid w:val="00933940"/>
    <w:rsid w:val="009412FB"/>
    <w:rsid w:val="00945D33"/>
    <w:rsid w:val="00947A04"/>
    <w:rsid w:val="0095205A"/>
    <w:rsid w:val="009523CC"/>
    <w:rsid w:val="009567B9"/>
    <w:rsid w:val="009714BB"/>
    <w:rsid w:val="00973013"/>
    <w:rsid w:val="00973CCA"/>
    <w:rsid w:val="00975CFE"/>
    <w:rsid w:val="00980879"/>
    <w:rsid w:val="009809D6"/>
    <w:rsid w:val="00981EEC"/>
    <w:rsid w:val="00985CEA"/>
    <w:rsid w:val="009A0861"/>
    <w:rsid w:val="009A21E5"/>
    <w:rsid w:val="009A49A2"/>
    <w:rsid w:val="009B1369"/>
    <w:rsid w:val="009C13D8"/>
    <w:rsid w:val="009C583A"/>
    <w:rsid w:val="009C719D"/>
    <w:rsid w:val="009E1337"/>
    <w:rsid w:val="009E32D7"/>
    <w:rsid w:val="009E3E96"/>
    <w:rsid w:val="009E508C"/>
    <w:rsid w:val="009E5767"/>
    <w:rsid w:val="009F4EC7"/>
    <w:rsid w:val="009F7DAE"/>
    <w:rsid w:val="00A00716"/>
    <w:rsid w:val="00A03FD0"/>
    <w:rsid w:val="00A0659E"/>
    <w:rsid w:val="00A06BD3"/>
    <w:rsid w:val="00A103EC"/>
    <w:rsid w:val="00A10B8C"/>
    <w:rsid w:val="00A12412"/>
    <w:rsid w:val="00A12B6E"/>
    <w:rsid w:val="00A24D70"/>
    <w:rsid w:val="00A26729"/>
    <w:rsid w:val="00A35656"/>
    <w:rsid w:val="00A3607E"/>
    <w:rsid w:val="00A41977"/>
    <w:rsid w:val="00A452AA"/>
    <w:rsid w:val="00A46497"/>
    <w:rsid w:val="00A5107A"/>
    <w:rsid w:val="00A5544D"/>
    <w:rsid w:val="00A5556F"/>
    <w:rsid w:val="00A5786A"/>
    <w:rsid w:val="00A60D8E"/>
    <w:rsid w:val="00A63F97"/>
    <w:rsid w:val="00A673FF"/>
    <w:rsid w:val="00A94A31"/>
    <w:rsid w:val="00AA2BE5"/>
    <w:rsid w:val="00AA3964"/>
    <w:rsid w:val="00AA71B5"/>
    <w:rsid w:val="00AA78DC"/>
    <w:rsid w:val="00AB2C8A"/>
    <w:rsid w:val="00AB3526"/>
    <w:rsid w:val="00AB61AF"/>
    <w:rsid w:val="00AC221F"/>
    <w:rsid w:val="00AC41DC"/>
    <w:rsid w:val="00AC68C8"/>
    <w:rsid w:val="00AC7346"/>
    <w:rsid w:val="00AC73FB"/>
    <w:rsid w:val="00AC740C"/>
    <w:rsid w:val="00AD4E5B"/>
    <w:rsid w:val="00AD57CA"/>
    <w:rsid w:val="00AE22FA"/>
    <w:rsid w:val="00AE3E17"/>
    <w:rsid w:val="00AE6052"/>
    <w:rsid w:val="00B023A4"/>
    <w:rsid w:val="00B113A9"/>
    <w:rsid w:val="00B1462B"/>
    <w:rsid w:val="00B14E7A"/>
    <w:rsid w:val="00B15667"/>
    <w:rsid w:val="00B16ED8"/>
    <w:rsid w:val="00B233C5"/>
    <w:rsid w:val="00B2617E"/>
    <w:rsid w:val="00B33678"/>
    <w:rsid w:val="00B33AF9"/>
    <w:rsid w:val="00B34501"/>
    <w:rsid w:val="00B413D3"/>
    <w:rsid w:val="00B419E6"/>
    <w:rsid w:val="00B42467"/>
    <w:rsid w:val="00B454F2"/>
    <w:rsid w:val="00B46606"/>
    <w:rsid w:val="00B508BD"/>
    <w:rsid w:val="00B53944"/>
    <w:rsid w:val="00B54522"/>
    <w:rsid w:val="00B54EF9"/>
    <w:rsid w:val="00B57A07"/>
    <w:rsid w:val="00B6537D"/>
    <w:rsid w:val="00B65FF5"/>
    <w:rsid w:val="00B7255A"/>
    <w:rsid w:val="00B75DE7"/>
    <w:rsid w:val="00B7756B"/>
    <w:rsid w:val="00B81BFF"/>
    <w:rsid w:val="00B83051"/>
    <w:rsid w:val="00B873D2"/>
    <w:rsid w:val="00B973AD"/>
    <w:rsid w:val="00BA1D87"/>
    <w:rsid w:val="00BA2335"/>
    <w:rsid w:val="00BA317B"/>
    <w:rsid w:val="00BA5AB1"/>
    <w:rsid w:val="00BB6F99"/>
    <w:rsid w:val="00BB7242"/>
    <w:rsid w:val="00BC2290"/>
    <w:rsid w:val="00BC2E92"/>
    <w:rsid w:val="00BC337C"/>
    <w:rsid w:val="00BC4B67"/>
    <w:rsid w:val="00BD0FB2"/>
    <w:rsid w:val="00BD5B32"/>
    <w:rsid w:val="00BE089C"/>
    <w:rsid w:val="00BE12D4"/>
    <w:rsid w:val="00BE1565"/>
    <w:rsid w:val="00BE3C57"/>
    <w:rsid w:val="00BE4D3E"/>
    <w:rsid w:val="00BF4736"/>
    <w:rsid w:val="00C00011"/>
    <w:rsid w:val="00C03F8A"/>
    <w:rsid w:val="00C07912"/>
    <w:rsid w:val="00C10E29"/>
    <w:rsid w:val="00C12CCB"/>
    <w:rsid w:val="00C1305C"/>
    <w:rsid w:val="00C13982"/>
    <w:rsid w:val="00C24782"/>
    <w:rsid w:val="00C26225"/>
    <w:rsid w:val="00C27CEE"/>
    <w:rsid w:val="00C3285B"/>
    <w:rsid w:val="00C379EE"/>
    <w:rsid w:val="00C4028C"/>
    <w:rsid w:val="00C47456"/>
    <w:rsid w:val="00C5033E"/>
    <w:rsid w:val="00C50897"/>
    <w:rsid w:val="00C54628"/>
    <w:rsid w:val="00C634D4"/>
    <w:rsid w:val="00C63935"/>
    <w:rsid w:val="00C71F8F"/>
    <w:rsid w:val="00C72222"/>
    <w:rsid w:val="00C73D90"/>
    <w:rsid w:val="00C752F2"/>
    <w:rsid w:val="00C77FD6"/>
    <w:rsid w:val="00C84339"/>
    <w:rsid w:val="00C84997"/>
    <w:rsid w:val="00C956A5"/>
    <w:rsid w:val="00CA00D2"/>
    <w:rsid w:val="00CA2C5C"/>
    <w:rsid w:val="00CA48A8"/>
    <w:rsid w:val="00CA567E"/>
    <w:rsid w:val="00CA74B6"/>
    <w:rsid w:val="00CB1035"/>
    <w:rsid w:val="00CB4646"/>
    <w:rsid w:val="00CB731F"/>
    <w:rsid w:val="00CC3378"/>
    <w:rsid w:val="00CC5532"/>
    <w:rsid w:val="00CC64D7"/>
    <w:rsid w:val="00CD26DA"/>
    <w:rsid w:val="00CE0061"/>
    <w:rsid w:val="00CE6D56"/>
    <w:rsid w:val="00CF017C"/>
    <w:rsid w:val="00CF3D3F"/>
    <w:rsid w:val="00CF4DCA"/>
    <w:rsid w:val="00D07028"/>
    <w:rsid w:val="00D11D49"/>
    <w:rsid w:val="00D171C7"/>
    <w:rsid w:val="00D20343"/>
    <w:rsid w:val="00D2607D"/>
    <w:rsid w:val="00D277C0"/>
    <w:rsid w:val="00D30074"/>
    <w:rsid w:val="00D30576"/>
    <w:rsid w:val="00D31AAD"/>
    <w:rsid w:val="00D321E1"/>
    <w:rsid w:val="00D3274D"/>
    <w:rsid w:val="00D330DC"/>
    <w:rsid w:val="00D347C4"/>
    <w:rsid w:val="00D37834"/>
    <w:rsid w:val="00D42762"/>
    <w:rsid w:val="00D5287D"/>
    <w:rsid w:val="00D604AC"/>
    <w:rsid w:val="00D6422E"/>
    <w:rsid w:val="00D65D06"/>
    <w:rsid w:val="00D65F7F"/>
    <w:rsid w:val="00D73613"/>
    <w:rsid w:val="00D804D5"/>
    <w:rsid w:val="00D82F6C"/>
    <w:rsid w:val="00D85D3E"/>
    <w:rsid w:val="00D869E0"/>
    <w:rsid w:val="00D9113A"/>
    <w:rsid w:val="00D91385"/>
    <w:rsid w:val="00D94948"/>
    <w:rsid w:val="00D9604F"/>
    <w:rsid w:val="00D969E2"/>
    <w:rsid w:val="00D97110"/>
    <w:rsid w:val="00DA06FD"/>
    <w:rsid w:val="00DA2EE5"/>
    <w:rsid w:val="00DA3209"/>
    <w:rsid w:val="00DA3909"/>
    <w:rsid w:val="00DA76B5"/>
    <w:rsid w:val="00DB05AF"/>
    <w:rsid w:val="00DB07B8"/>
    <w:rsid w:val="00DB1FBE"/>
    <w:rsid w:val="00DB7E19"/>
    <w:rsid w:val="00DC091B"/>
    <w:rsid w:val="00DC6563"/>
    <w:rsid w:val="00DC6F62"/>
    <w:rsid w:val="00DE0836"/>
    <w:rsid w:val="00DE0BEC"/>
    <w:rsid w:val="00DE1DDF"/>
    <w:rsid w:val="00DF2701"/>
    <w:rsid w:val="00E11264"/>
    <w:rsid w:val="00E124A0"/>
    <w:rsid w:val="00E14283"/>
    <w:rsid w:val="00E210E4"/>
    <w:rsid w:val="00E26C1F"/>
    <w:rsid w:val="00E32FF8"/>
    <w:rsid w:val="00E33F66"/>
    <w:rsid w:val="00E40DD7"/>
    <w:rsid w:val="00E45055"/>
    <w:rsid w:val="00E467B7"/>
    <w:rsid w:val="00E47571"/>
    <w:rsid w:val="00E50174"/>
    <w:rsid w:val="00E502F9"/>
    <w:rsid w:val="00E50812"/>
    <w:rsid w:val="00E628F0"/>
    <w:rsid w:val="00E62C74"/>
    <w:rsid w:val="00E633D9"/>
    <w:rsid w:val="00E6443A"/>
    <w:rsid w:val="00E66436"/>
    <w:rsid w:val="00E748F5"/>
    <w:rsid w:val="00E76D9B"/>
    <w:rsid w:val="00E81D1A"/>
    <w:rsid w:val="00E87310"/>
    <w:rsid w:val="00E94BE3"/>
    <w:rsid w:val="00EA0377"/>
    <w:rsid w:val="00EA0401"/>
    <w:rsid w:val="00EB3B71"/>
    <w:rsid w:val="00EB3C7F"/>
    <w:rsid w:val="00EB4AC8"/>
    <w:rsid w:val="00EB5DAC"/>
    <w:rsid w:val="00EC5F9C"/>
    <w:rsid w:val="00EE05D3"/>
    <w:rsid w:val="00EE1AA1"/>
    <w:rsid w:val="00EE1C15"/>
    <w:rsid w:val="00EE3635"/>
    <w:rsid w:val="00EE4441"/>
    <w:rsid w:val="00EE78C7"/>
    <w:rsid w:val="00EF20B1"/>
    <w:rsid w:val="00EF3CCF"/>
    <w:rsid w:val="00EF5379"/>
    <w:rsid w:val="00EF5DAA"/>
    <w:rsid w:val="00F0171A"/>
    <w:rsid w:val="00F03458"/>
    <w:rsid w:val="00F04FF6"/>
    <w:rsid w:val="00F11D50"/>
    <w:rsid w:val="00F14A40"/>
    <w:rsid w:val="00F22BEE"/>
    <w:rsid w:val="00F33D2A"/>
    <w:rsid w:val="00F4342E"/>
    <w:rsid w:val="00F44D91"/>
    <w:rsid w:val="00F53198"/>
    <w:rsid w:val="00F56192"/>
    <w:rsid w:val="00F56D20"/>
    <w:rsid w:val="00F57290"/>
    <w:rsid w:val="00F65B3A"/>
    <w:rsid w:val="00F71572"/>
    <w:rsid w:val="00F71785"/>
    <w:rsid w:val="00F71FE0"/>
    <w:rsid w:val="00F73C07"/>
    <w:rsid w:val="00F76EBE"/>
    <w:rsid w:val="00F8384B"/>
    <w:rsid w:val="00F8662C"/>
    <w:rsid w:val="00F93E71"/>
    <w:rsid w:val="00F96168"/>
    <w:rsid w:val="00FA287A"/>
    <w:rsid w:val="00FB356F"/>
    <w:rsid w:val="00FB754A"/>
    <w:rsid w:val="00FC194E"/>
    <w:rsid w:val="00FC1B12"/>
    <w:rsid w:val="00FC66AF"/>
    <w:rsid w:val="00FC6BC1"/>
    <w:rsid w:val="00FD2B6E"/>
    <w:rsid w:val="00FD3969"/>
    <w:rsid w:val="00FD532A"/>
    <w:rsid w:val="00FE4390"/>
    <w:rsid w:val="00FE452D"/>
    <w:rsid w:val="00FE641B"/>
    <w:rsid w:val="00FF1206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BE35"/>
  <w15:chartTrackingRefBased/>
  <w15:docId w15:val="{B85B3258-9C80-43C6-99D5-11EA7286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862D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D718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D7181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45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D604AC"/>
    <w:rPr>
      <w:color w:val="954F72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FC6BC1"/>
    <w:rPr>
      <w:b/>
      <w:bCs/>
    </w:rPr>
  </w:style>
  <w:style w:type="character" w:customStyle="1" w:styleId="normaltextrun">
    <w:name w:val="normaltextrun"/>
    <w:basedOn w:val="Standardskrifttypeiafsnit"/>
    <w:rsid w:val="000A073E"/>
  </w:style>
  <w:style w:type="paragraph" w:customStyle="1" w:styleId="paragraph">
    <w:name w:val="paragraph"/>
    <w:basedOn w:val="Normal"/>
    <w:rsid w:val="0028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customStyle="1" w:styleId="eop">
    <w:name w:val="eop"/>
    <w:basedOn w:val="Standardskrifttypeiafsnit"/>
    <w:rsid w:val="00286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323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573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C52E3428DBAF488022ED4D40AE76CC" ma:contentTypeVersion="18" ma:contentTypeDescription="Opret et nyt dokument." ma:contentTypeScope="" ma:versionID="152f0cab19c56e33df6941cc38b751f0">
  <xsd:schema xmlns:xsd="http://www.w3.org/2001/XMLSchema" xmlns:xs="http://www.w3.org/2001/XMLSchema" xmlns:p="http://schemas.microsoft.com/office/2006/metadata/properties" xmlns:ns2="ad18f593-e248-4c94-9cf7-8a77555ed630" xmlns:ns3="b6ff1d8d-6802-4943-95d0-7af019a8c835" targetNamespace="http://schemas.microsoft.com/office/2006/metadata/properties" ma:root="true" ma:fieldsID="afbc76b7a1af4166839fbc1ecc44d8f5" ns2:_="" ns3:_="">
    <xsd:import namespace="ad18f593-e248-4c94-9cf7-8a77555ed630"/>
    <xsd:import namespace="b6ff1d8d-6802-4943-95d0-7af019a8c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8f593-e248-4c94-9cf7-8a77555ed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74e381a7-35de-443f-acd1-1ac9e5870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f1d8d-6802-4943-95d0-7af019a8c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a934ab-d2e1-4224-8f93-3c37ae3f61fd}" ma:internalName="TaxCatchAll" ma:showField="CatchAllData" ma:web="b6ff1d8d-6802-4943-95d0-7af019a8c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ff1d8d-6802-4943-95d0-7af019a8c835" xsi:nil="true"/>
    <lcf76f155ced4ddcb4097134ff3c332f xmlns="ad18f593-e248-4c94-9cf7-8a77555ed6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B317D5-F877-4930-AF40-C51580187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8f593-e248-4c94-9cf7-8a77555ed630"/>
    <ds:schemaRef ds:uri="b6ff1d8d-6802-4943-95d0-7af019a8c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91629E-0D1B-466B-BE60-8D6A1C74F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6B51F-3E04-4761-8CBA-E456E9C577C9}">
  <ds:schemaRefs>
    <ds:schemaRef ds:uri="http://schemas.microsoft.com/office/2006/metadata/properties"/>
    <ds:schemaRef ds:uri="http://schemas.microsoft.com/office/infopath/2007/PartnerControls"/>
    <ds:schemaRef ds:uri="b6ff1d8d-6802-4943-95d0-7af019a8c835"/>
    <ds:schemaRef ds:uri="ad18f593-e248-4c94-9cf7-8a77555ed6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917</Words>
  <Characters>5599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Ajslev Hersbøll</dc:creator>
  <cp:keywords/>
  <dc:description/>
  <cp:lastModifiedBy>Amanda Ajslev Hersbøll</cp:lastModifiedBy>
  <cp:revision>740</cp:revision>
  <dcterms:created xsi:type="dcterms:W3CDTF">2023-11-21T09:28:00Z</dcterms:created>
  <dcterms:modified xsi:type="dcterms:W3CDTF">2024-01-10T10:07:00Z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0x01010094C52E3428DBAF488022ED4D40AE76CC</vt:lpwstr>
  </property>
  <property fmtid="{D5CDD505-2E9C-101B-9397-08002B2CF9AE}" pid="3" name="MediaServiceImageTags">
    <vt:lpwstr/>
  </property>
</Properties>
</file>